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89D" w14:textId="0B730794" w:rsidR="004459A0" w:rsidRPr="000C6DE0" w:rsidRDefault="00672B25" w:rsidP="00803F95">
      <w:pPr>
        <w:jc w:val="center"/>
        <w:rPr>
          <w:b/>
          <w:bCs/>
        </w:rPr>
      </w:pPr>
      <w:r>
        <w:rPr>
          <w:b/>
          <w:lang w:eastAsia="lt-LT"/>
        </w:rPr>
        <w:t>LIETUVOS RESPUBLIKOS VALSTYBĖS GYNYBOS FONDO ĮSTATYMO NR. XIV-</w:t>
      </w:r>
      <w:r w:rsidR="00E94A59">
        <w:rPr>
          <w:b/>
          <w:lang w:eastAsia="lt-LT"/>
        </w:rPr>
        <w:t>2775</w:t>
      </w:r>
      <w:r>
        <w:rPr>
          <w:b/>
          <w:lang w:eastAsia="lt-LT"/>
        </w:rPr>
        <w:t xml:space="preserve"> </w:t>
      </w:r>
      <w:r w:rsidR="004337DC">
        <w:rPr>
          <w:b/>
          <w:lang w:eastAsia="lt-LT"/>
        </w:rPr>
        <w:t>2</w:t>
      </w:r>
      <w:r w:rsidR="0079731A">
        <w:rPr>
          <w:b/>
          <w:lang w:eastAsia="lt-LT"/>
        </w:rPr>
        <w:t> </w:t>
      </w:r>
      <w:r w:rsidR="004337DC">
        <w:rPr>
          <w:b/>
          <w:lang w:eastAsia="lt-LT"/>
        </w:rPr>
        <w:t xml:space="preserve">IR </w:t>
      </w:r>
      <w:r>
        <w:rPr>
          <w:b/>
          <w:lang w:eastAsia="lt-LT"/>
        </w:rPr>
        <w:t>4 STRAIPSNI</w:t>
      </w:r>
      <w:r w:rsidR="004337DC">
        <w:rPr>
          <w:b/>
          <w:lang w:eastAsia="lt-LT"/>
        </w:rPr>
        <w:t>Ų</w:t>
      </w:r>
      <w:r>
        <w:rPr>
          <w:b/>
          <w:lang w:eastAsia="lt-LT"/>
        </w:rPr>
        <w:t xml:space="preserve"> PAKEITIMO </w:t>
      </w:r>
      <w:bookmarkStart w:id="0" w:name="_Hlk170713732"/>
      <w:r>
        <w:rPr>
          <w:b/>
          <w:lang w:eastAsia="lt-LT"/>
        </w:rPr>
        <w:t>ĮSTATYMO</w:t>
      </w:r>
      <w:bookmarkEnd w:id="0"/>
      <w:r>
        <w:rPr>
          <w:b/>
          <w:lang w:eastAsia="lt-LT"/>
        </w:rPr>
        <w:t xml:space="preserve">, LIETUVOS RESPUBLIKOS SAUGUMO ĮNAŠO ĮSTATYMO IR LIETUVOS RESPUBLIKOS MOKESČIŲ ADMINISTRAVIMO </w:t>
      </w:r>
      <w:r w:rsidR="0079731A">
        <w:rPr>
          <w:b/>
          <w:lang w:eastAsia="lt-LT"/>
        </w:rPr>
        <w:t>ĮSTATYMO</w:t>
      </w:r>
      <w:r w:rsidR="0079731A">
        <w:rPr>
          <w:b/>
          <w:bCs/>
          <w:color w:val="000000"/>
        </w:rPr>
        <w:t xml:space="preserve"> </w:t>
      </w:r>
      <w:r>
        <w:rPr>
          <w:b/>
          <w:bCs/>
          <w:color w:val="000000"/>
        </w:rPr>
        <w:t>NR. IX-2112 13 STRAIPSNIO PAKEITIMO ĮSTATYMO</w:t>
      </w:r>
      <w:r w:rsidR="00017CDF" w:rsidRPr="000C6DE0">
        <w:rPr>
          <w:b/>
          <w:bCs/>
          <w:caps/>
          <w:lang w:eastAsia="lt-LT"/>
        </w:rPr>
        <w:t xml:space="preserve"> </w:t>
      </w:r>
      <w:r w:rsidR="001F2602" w:rsidRPr="000C6DE0">
        <w:rPr>
          <w:b/>
          <w:bCs/>
          <w:caps/>
          <w:lang w:eastAsia="lt-LT"/>
        </w:rPr>
        <w:t>PROJEKTŲ</w:t>
      </w:r>
    </w:p>
    <w:p w14:paraId="06C23EFD" w14:textId="77777777" w:rsidR="00B15490" w:rsidRPr="000C6DE0" w:rsidRDefault="00B15490" w:rsidP="00E70F92">
      <w:pPr>
        <w:jc w:val="center"/>
        <w:rPr>
          <w:b/>
        </w:rPr>
      </w:pPr>
      <w:r w:rsidRPr="000C6DE0">
        <w:rPr>
          <w:b/>
        </w:rPr>
        <w:t>AIŠKINAMASIS RAŠTAS</w:t>
      </w:r>
    </w:p>
    <w:p w14:paraId="64F71C1E" w14:textId="77777777" w:rsidR="00971E8C" w:rsidRPr="000C6DE0" w:rsidRDefault="001503D5" w:rsidP="00E70F92">
      <w:pPr>
        <w:jc w:val="both"/>
        <w:rPr>
          <w:bCs/>
        </w:rPr>
      </w:pPr>
      <w:r w:rsidRPr="000C6DE0">
        <w:rPr>
          <w:bCs/>
        </w:rPr>
        <w:t xml:space="preserve"> </w:t>
      </w:r>
    </w:p>
    <w:p w14:paraId="76FE8B2E" w14:textId="6B16BF76" w:rsidR="00CB7BB1" w:rsidRPr="000C6DE0" w:rsidRDefault="00CB7BB1" w:rsidP="00BF053C">
      <w:pPr>
        <w:ind w:firstLine="720"/>
        <w:jc w:val="both"/>
        <w:rPr>
          <w:b/>
          <w:bCs/>
        </w:rPr>
      </w:pPr>
      <w:r w:rsidRPr="000C6DE0">
        <w:rPr>
          <w:b/>
          <w:bCs/>
        </w:rPr>
        <w:t xml:space="preserve">1. </w:t>
      </w:r>
      <w:r w:rsidR="001F2602" w:rsidRPr="000C6DE0">
        <w:rPr>
          <w:b/>
          <w:bCs/>
        </w:rPr>
        <w:t xml:space="preserve">Įstatymų projektų </w:t>
      </w:r>
      <w:r w:rsidRPr="000C6DE0">
        <w:rPr>
          <w:b/>
          <w:bCs/>
        </w:rPr>
        <w:t>rengimą paskatinusios priežastys</w:t>
      </w:r>
      <w:r w:rsidR="00322D89" w:rsidRPr="000C6DE0">
        <w:rPr>
          <w:b/>
          <w:bCs/>
        </w:rPr>
        <w:t>, parengt</w:t>
      </w:r>
      <w:r w:rsidR="00D63786" w:rsidRPr="000C6DE0">
        <w:rPr>
          <w:b/>
          <w:bCs/>
        </w:rPr>
        <w:t>ų</w:t>
      </w:r>
      <w:r w:rsidR="00322D89" w:rsidRPr="000C6DE0">
        <w:rPr>
          <w:b/>
          <w:bCs/>
        </w:rPr>
        <w:t xml:space="preserve"> </w:t>
      </w:r>
      <w:r w:rsidR="00F83C3E" w:rsidRPr="000C6DE0">
        <w:rPr>
          <w:b/>
          <w:bCs/>
        </w:rPr>
        <w:t xml:space="preserve">Įstatymų </w:t>
      </w:r>
      <w:r w:rsidR="00322D89" w:rsidRPr="000C6DE0">
        <w:rPr>
          <w:b/>
          <w:bCs/>
        </w:rPr>
        <w:t>projekt</w:t>
      </w:r>
      <w:r w:rsidR="00D63786" w:rsidRPr="000C6DE0">
        <w:rPr>
          <w:b/>
          <w:bCs/>
        </w:rPr>
        <w:t>ų</w:t>
      </w:r>
      <w:r w:rsidR="00322D89" w:rsidRPr="000C6DE0">
        <w:rPr>
          <w:b/>
          <w:bCs/>
        </w:rPr>
        <w:t xml:space="preserve"> tikslai ir uždaviniai</w:t>
      </w:r>
    </w:p>
    <w:p w14:paraId="6DC5C157" w14:textId="07CA3F4E" w:rsidR="0040132A" w:rsidRPr="000C6DE0" w:rsidRDefault="0040132A" w:rsidP="0040132A">
      <w:pPr>
        <w:ind w:firstLine="720"/>
        <w:jc w:val="both"/>
        <w:rPr>
          <w:bCs/>
        </w:rPr>
      </w:pPr>
      <w:bookmarkStart w:id="1" w:name="_Hlk166580782"/>
      <w:r w:rsidRPr="000C6DE0">
        <w:rPr>
          <w:bCs/>
        </w:rPr>
        <w:t>Atsižvelgiant į tai, kad</w:t>
      </w:r>
      <w:r w:rsidR="008B20BE">
        <w:rPr>
          <w:bCs/>
        </w:rPr>
        <w:t>:</w:t>
      </w:r>
    </w:p>
    <w:p w14:paraId="7E033B37" w14:textId="6305B5F5" w:rsidR="0040132A" w:rsidRPr="000C6DE0" w:rsidRDefault="0040132A" w:rsidP="0040132A">
      <w:pPr>
        <w:ind w:firstLine="720"/>
        <w:jc w:val="both"/>
        <w:rPr>
          <w:bCs/>
        </w:rPr>
      </w:pPr>
      <w:r w:rsidRPr="000C6DE0">
        <w:rPr>
          <w:bCs/>
        </w:rPr>
        <w:t>Rusijos Federacijos vykdoma atvira karinė agresija prieš Ukrainą turi reikšmingą neigiamą poveikį Lietuvos Respublikos nacionaliniam saugumui</w:t>
      </w:r>
      <w:r w:rsidR="00023E93">
        <w:rPr>
          <w:bCs/>
        </w:rPr>
        <w:t>,</w:t>
      </w:r>
    </w:p>
    <w:p w14:paraId="23E905FB" w14:textId="45B2CEBE" w:rsidR="0040132A" w:rsidRPr="000C6DE0" w:rsidRDefault="0040132A" w:rsidP="0040132A">
      <w:pPr>
        <w:ind w:firstLine="720"/>
        <w:jc w:val="both"/>
        <w:rPr>
          <w:bCs/>
        </w:rPr>
      </w:pPr>
      <w:r w:rsidRPr="000C6DE0">
        <w:rPr>
          <w:bCs/>
        </w:rPr>
        <w:t>pastaraisiais metais ypač padidėjo poreikis imtis būtinų ir neatidėliotinų priemonių Lietuvos Respublikos nacionaliniam saugumui stiprinti</w:t>
      </w:r>
      <w:r w:rsidR="004152FA" w:rsidRPr="000C6DE0">
        <w:rPr>
          <w:bCs/>
        </w:rPr>
        <w:t>,</w:t>
      </w:r>
    </w:p>
    <w:p w14:paraId="0A91ADAA" w14:textId="2D8DC09C" w:rsidR="0040132A" w:rsidRDefault="00AC00B5" w:rsidP="0040132A">
      <w:pPr>
        <w:ind w:firstLine="720"/>
        <w:jc w:val="both"/>
      </w:pPr>
      <w:r w:rsidRPr="000C6DE0">
        <w:rPr>
          <w:bCs/>
        </w:rPr>
        <w:t>V</w:t>
      </w:r>
      <w:r w:rsidR="00541C8B" w:rsidRPr="000C6DE0">
        <w:rPr>
          <w:bCs/>
        </w:rPr>
        <w:t>alstybės</w:t>
      </w:r>
      <w:r w:rsidR="00E13A8A" w:rsidRPr="000C6DE0">
        <w:rPr>
          <w:bCs/>
        </w:rPr>
        <w:t xml:space="preserve"> gynybos</w:t>
      </w:r>
      <w:r w:rsidR="00541C8B" w:rsidRPr="000C6DE0">
        <w:rPr>
          <w:bCs/>
        </w:rPr>
        <w:t xml:space="preserve"> fond</w:t>
      </w:r>
      <w:r w:rsidR="008B20BE">
        <w:rPr>
          <w:bCs/>
        </w:rPr>
        <w:t xml:space="preserve">as </w:t>
      </w:r>
      <w:r w:rsidR="00541C8B" w:rsidRPr="000C6DE0">
        <w:rPr>
          <w:bCs/>
        </w:rPr>
        <w:t>turi ypatingą valstybinę svarbą užtikrinant Lietuvos Respublikos nacionalinio saugumo interesus</w:t>
      </w:r>
      <w:r w:rsidR="008B20BE">
        <w:t xml:space="preserve">, </w:t>
      </w:r>
    </w:p>
    <w:p w14:paraId="00592F23" w14:textId="43545445" w:rsidR="003978F8" w:rsidRDefault="008B20BE" w:rsidP="0040132A">
      <w:pPr>
        <w:ind w:firstLine="720"/>
        <w:jc w:val="both"/>
        <w:rPr>
          <w:bCs/>
        </w:rPr>
      </w:pPr>
      <w:r w:rsidRPr="008B20BE">
        <w:rPr>
          <w:bCs/>
        </w:rPr>
        <w:t>parengti papildom</w:t>
      </w:r>
      <w:r w:rsidR="003978F8">
        <w:rPr>
          <w:bCs/>
        </w:rPr>
        <w:t>us</w:t>
      </w:r>
      <w:r w:rsidRPr="008B20BE">
        <w:rPr>
          <w:bCs/>
        </w:rPr>
        <w:t xml:space="preserve"> Valstybės gynybos fondo finansavimo šaltin</w:t>
      </w:r>
      <w:r w:rsidR="003978F8">
        <w:rPr>
          <w:bCs/>
        </w:rPr>
        <w:t>ius</w:t>
      </w:r>
      <w:r w:rsidRPr="008B20BE">
        <w:rPr>
          <w:bCs/>
        </w:rPr>
        <w:t xml:space="preserve"> nustatantys</w:t>
      </w:r>
      <w:r w:rsidR="003978F8">
        <w:rPr>
          <w:bCs/>
        </w:rPr>
        <w:t>:</w:t>
      </w:r>
    </w:p>
    <w:p w14:paraId="300AFABD" w14:textId="0B67CE10" w:rsidR="003978F8" w:rsidRDefault="003978F8" w:rsidP="0040132A">
      <w:pPr>
        <w:ind w:firstLine="720"/>
        <w:jc w:val="both"/>
      </w:pPr>
      <w:r>
        <w:rPr>
          <w:bCs/>
        </w:rPr>
        <w:t>1)</w:t>
      </w:r>
      <w:r w:rsidR="008B20BE" w:rsidRPr="008B20BE">
        <w:rPr>
          <w:bCs/>
        </w:rPr>
        <w:t xml:space="preserve"> </w:t>
      </w:r>
      <w:r w:rsidR="008B20BE">
        <w:t>Lietuvos Respublikos Valstybės gynybos fondo įstatymo Nr. XIV-</w:t>
      </w:r>
      <w:r w:rsidR="00E94A59">
        <w:t>2775</w:t>
      </w:r>
      <w:r w:rsidR="008B20BE">
        <w:t xml:space="preserve"> </w:t>
      </w:r>
      <w:r w:rsidR="004337DC">
        <w:t xml:space="preserve">2 ir </w:t>
      </w:r>
      <w:r w:rsidR="008B20BE">
        <w:t>4 straipsni</w:t>
      </w:r>
      <w:r w:rsidR="004337DC">
        <w:t>ų</w:t>
      </w:r>
      <w:r w:rsidR="008B20BE">
        <w:t xml:space="preserve"> pakeitimo įstatymo</w:t>
      </w:r>
      <w:r w:rsidR="00884024">
        <w:t xml:space="preserve"> projektas</w:t>
      </w:r>
      <w:r w:rsidR="008B20BE">
        <w:t xml:space="preserve"> (toliau – Valstybės gynybos fondo įstatymo projektas)</w:t>
      </w:r>
      <w:r>
        <w:t>;</w:t>
      </w:r>
    </w:p>
    <w:p w14:paraId="211F63AC" w14:textId="42ADCD6C" w:rsidR="003978F8" w:rsidRDefault="003978F8" w:rsidP="0040132A">
      <w:pPr>
        <w:ind w:firstLine="720"/>
        <w:jc w:val="both"/>
      </w:pPr>
      <w:r>
        <w:t>2)</w:t>
      </w:r>
      <w:r w:rsidR="008B20BE">
        <w:t xml:space="preserve"> Lietuvos Respublikos saugumo įnašo įstatymo</w:t>
      </w:r>
      <w:r w:rsidR="00023E93">
        <w:t xml:space="preserve"> projektas</w:t>
      </w:r>
      <w:r w:rsidR="008B20BE">
        <w:t xml:space="preserve"> (toliau – Saugumo įnašo įstatymo projektas)</w:t>
      </w:r>
      <w:r>
        <w:t>;</w:t>
      </w:r>
    </w:p>
    <w:p w14:paraId="0130D971" w14:textId="75E75655" w:rsidR="008B20BE" w:rsidRPr="000C6DE0" w:rsidRDefault="003978F8" w:rsidP="0040132A">
      <w:pPr>
        <w:ind w:firstLine="720"/>
        <w:jc w:val="both"/>
        <w:rPr>
          <w:b/>
        </w:rPr>
      </w:pPr>
      <w:r>
        <w:rPr>
          <w:bCs/>
        </w:rPr>
        <w:t>3)</w:t>
      </w:r>
      <w:r w:rsidR="008B20BE">
        <w:rPr>
          <w:bCs/>
        </w:rPr>
        <w:t xml:space="preserve"> </w:t>
      </w:r>
      <w:r w:rsidR="008B20BE">
        <w:t>Lietuvos Respublikos mokesčių administravimo įstatymo Nr. IX-2112 13 straipsnio pakeitimo įstatymo</w:t>
      </w:r>
      <w:r w:rsidR="00884024">
        <w:t xml:space="preserve"> projektas</w:t>
      </w:r>
      <w:r w:rsidR="008B20BE">
        <w:t xml:space="preserve"> </w:t>
      </w:r>
      <w:r w:rsidR="00B177AD">
        <w:t>(toliau – Mokesčių administravimo įstatymo projektas)</w:t>
      </w:r>
      <w:r w:rsidR="00023E93">
        <w:t xml:space="preserve"> </w:t>
      </w:r>
      <w:r w:rsidR="00593A6B">
        <w:t>(</w:t>
      </w:r>
      <w:r>
        <w:t>toliau kartu</w:t>
      </w:r>
      <w:r w:rsidR="008B20BE">
        <w:t xml:space="preserve"> – Įstatymų projektai).</w:t>
      </w:r>
    </w:p>
    <w:p w14:paraId="6692ABDC" w14:textId="4F725EFB" w:rsidR="008B20BE" w:rsidRDefault="00791331" w:rsidP="008B20BE">
      <w:pPr>
        <w:ind w:firstLine="720"/>
        <w:jc w:val="both"/>
        <w:rPr>
          <w:color w:val="000000"/>
        </w:rPr>
      </w:pPr>
      <w:r w:rsidRPr="000C6DE0">
        <w:rPr>
          <w:color w:val="000000"/>
        </w:rPr>
        <w:t xml:space="preserve">Valstybės gynybos fondo įstatymo projekto tikslas – </w:t>
      </w:r>
      <w:r w:rsidR="008B20BE">
        <w:rPr>
          <w:color w:val="000000"/>
        </w:rPr>
        <w:t xml:space="preserve">į Valstybės gynybos fondo pajamas įtraukti </w:t>
      </w:r>
      <w:r w:rsidR="002F232E">
        <w:rPr>
          <w:color w:val="000000"/>
        </w:rPr>
        <w:t>papildomus</w:t>
      </w:r>
      <w:r w:rsidR="008B20BE">
        <w:rPr>
          <w:color w:val="000000"/>
        </w:rPr>
        <w:t xml:space="preserve"> pajamų šaltin</w:t>
      </w:r>
      <w:r w:rsidR="002F232E">
        <w:rPr>
          <w:color w:val="000000"/>
        </w:rPr>
        <w:t>ius</w:t>
      </w:r>
      <w:r w:rsidR="00FF7FC1">
        <w:rPr>
          <w:color w:val="000000"/>
        </w:rPr>
        <w:t xml:space="preserve">, </w:t>
      </w:r>
      <w:r w:rsidR="00FF7FC1" w:rsidRPr="000E740E">
        <w:t>kuriais būtų užtikrinami itin skubūs prioritetinių valstybės gynybinių pajėgumų ir civilinės saugos stiprinimo poreikiai</w:t>
      </w:r>
      <w:r w:rsidR="008B20BE">
        <w:rPr>
          <w:color w:val="000000"/>
        </w:rPr>
        <w:t xml:space="preserve">. </w:t>
      </w:r>
    </w:p>
    <w:p w14:paraId="7608AE47" w14:textId="7BCB736A" w:rsidR="00B177AD" w:rsidRDefault="00B177AD" w:rsidP="008B20BE">
      <w:pPr>
        <w:ind w:firstLine="720"/>
        <w:jc w:val="both"/>
        <w:rPr>
          <w:color w:val="000000"/>
        </w:rPr>
      </w:pPr>
      <w:r>
        <w:t xml:space="preserve">Saugumo įnašo įstatymo projekto tikslas – nustatyti </w:t>
      </w:r>
      <w:r w:rsidRPr="00B177AD">
        <w:t>pinigin</w:t>
      </w:r>
      <w:r>
        <w:t>ę</w:t>
      </w:r>
      <w:r w:rsidRPr="00B177AD">
        <w:t xml:space="preserve"> prievol</w:t>
      </w:r>
      <w:r>
        <w:t>ę</w:t>
      </w:r>
      <w:r w:rsidRPr="00B177AD">
        <w:t xml:space="preserve"> valstybei, </w:t>
      </w:r>
      <w:r w:rsidR="0089610D">
        <w:t>taikomą</w:t>
      </w:r>
      <w:r w:rsidRPr="00B177AD">
        <w:t xml:space="preserve"> ne gyvybės draudimo įmok</w:t>
      </w:r>
      <w:r w:rsidR="0089610D">
        <w:t>oms</w:t>
      </w:r>
      <w:r w:rsidR="005E7375" w:rsidRPr="005E7375">
        <w:rPr>
          <w:color w:val="000000"/>
        </w:rPr>
        <w:t xml:space="preserve"> </w:t>
      </w:r>
      <w:r w:rsidR="005E7375">
        <w:rPr>
          <w:color w:val="000000"/>
        </w:rPr>
        <w:t>V</w:t>
      </w:r>
      <w:r w:rsidR="005E7375" w:rsidRPr="007F522F">
        <w:rPr>
          <w:color w:val="000000"/>
        </w:rPr>
        <w:t>alstybės gynybos fondo finansavimo tikslais</w:t>
      </w:r>
      <w:r w:rsidRPr="00B177AD">
        <w:t>.</w:t>
      </w:r>
    </w:p>
    <w:p w14:paraId="151B0ACE" w14:textId="11E2ED06" w:rsidR="008B20BE" w:rsidRDefault="00B177AD" w:rsidP="008B20BE">
      <w:pPr>
        <w:ind w:firstLine="720"/>
        <w:jc w:val="both"/>
      </w:pPr>
      <w:r>
        <w:t>Mokesčių administravimo įstatymo projekto tikslas – įteisinti tinkamą saugumo įnašo administravimą.</w:t>
      </w:r>
    </w:p>
    <w:p w14:paraId="28A1E2DD" w14:textId="77777777" w:rsidR="005A402C" w:rsidRPr="00724E24" w:rsidRDefault="005A402C" w:rsidP="00ED6350">
      <w:pPr>
        <w:ind w:firstLine="720"/>
        <w:jc w:val="both"/>
      </w:pPr>
    </w:p>
    <w:bookmarkEnd w:id="1"/>
    <w:p w14:paraId="5E79755E" w14:textId="77777777" w:rsidR="00322D89" w:rsidRPr="00724E24" w:rsidRDefault="00322D89" w:rsidP="00E70F92">
      <w:pPr>
        <w:ind w:firstLine="720"/>
        <w:jc w:val="both"/>
        <w:rPr>
          <w:b/>
        </w:rPr>
      </w:pPr>
      <w:r w:rsidRPr="00724E24">
        <w:rPr>
          <w:b/>
        </w:rPr>
        <w:t xml:space="preserve">2. </w:t>
      </w:r>
      <w:r w:rsidR="00640B73" w:rsidRPr="00724E24">
        <w:rPr>
          <w:b/>
        </w:rPr>
        <w:t xml:space="preserve">Įstatymų projektų </w:t>
      </w:r>
      <w:r w:rsidRPr="00724E24">
        <w:rPr>
          <w:b/>
        </w:rPr>
        <w:t>iniciatoriai ir rengėjai</w:t>
      </w:r>
    </w:p>
    <w:p w14:paraId="749879FA" w14:textId="408B51C3" w:rsidR="00201640" w:rsidRPr="000C6DE0" w:rsidRDefault="00201640" w:rsidP="00E70F92">
      <w:pPr>
        <w:ind w:firstLine="720"/>
        <w:jc w:val="both"/>
        <w:rPr>
          <w:bCs/>
        </w:rPr>
      </w:pPr>
      <w:r w:rsidRPr="00724E24">
        <w:t>Įstatym</w:t>
      </w:r>
      <w:r w:rsidR="00B25D3B" w:rsidRPr="00724E24">
        <w:t>ų</w:t>
      </w:r>
      <w:r w:rsidRPr="00724E24">
        <w:t xml:space="preserve"> projekt</w:t>
      </w:r>
      <w:r w:rsidR="00087E48" w:rsidRPr="00724E24">
        <w:t>us</w:t>
      </w:r>
      <w:r w:rsidRPr="00724E24">
        <w:t xml:space="preserve"> </w:t>
      </w:r>
      <w:r w:rsidR="005D1FC0" w:rsidRPr="00724E24">
        <w:t>parengė</w:t>
      </w:r>
      <w:r w:rsidR="00F31148" w:rsidRPr="00724E24">
        <w:t xml:space="preserve"> </w:t>
      </w:r>
      <w:r w:rsidR="00A05826" w:rsidRPr="00724E24">
        <w:t>Lietuvos Respublikos finansų ministerija</w:t>
      </w:r>
      <w:r w:rsidR="002D4E01">
        <w:t>.</w:t>
      </w:r>
      <w:r w:rsidR="00A81AF7" w:rsidRPr="00724E24">
        <w:t xml:space="preserve"> </w:t>
      </w:r>
    </w:p>
    <w:p w14:paraId="5BB4AF8C" w14:textId="77777777" w:rsidR="00201640" w:rsidRPr="000C6DE0" w:rsidRDefault="00201640" w:rsidP="00201640">
      <w:pPr>
        <w:ind w:firstLine="720"/>
        <w:jc w:val="both"/>
        <w:rPr>
          <w:bCs/>
        </w:rPr>
      </w:pPr>
    </w:p>
    <w:p w14:paraId="3DBF709E" w14:textId="76BA169C" w:rsidR="00B72919" w:rsidRPr="000C6DE0" w:rsidRDefault="00B72919" w:rsidP="00201640">
      <w:pPr>
        <w:ind w:firstLine="720"/>
        <w:jc w:val="both"/>
        <w:rPr>
          <w:bCs/>
        </w:rPr>
      </w:pPr>
      <w:r w:rsidRPr="000C6DE0">
        <w:rPr>
          <w:b/>
          <w:bCs/>
        </w:rPr>
        <w:t xml:space="preserve">3. </w:t>
      </w:r>
      <w:r w:rsidR="004011AE" w:rsidRPr="000C6DE0">
        <w:rPr>
          <w:b/>
          <w:bCs/>
        </w:rPr>
        <w:t xml:space="preserve">Kaip šiuo metu yra </w:t>
      </w:r>
      <w:r w:rsidR="00322D89" w:rsidRPr="000C6DE0">
        <w:rPr>
          <w:b/>
          <w:bCs/>
        </w:rPr>
        <w:t>reguliuojami</w:t>
      </w:r>
      <w:r w:rsidR="00D94726" w:rsidRPr="000C6DE0">
        <w:rPr>
          <w:b/>
          <w:bCs/>
        </w:rPr>
        <w:t xml:space="preserve"> </w:t>
      </w:r>
      <w:r w:rsidR="00087E48" w:rsidRPr="000C6DE0">
        <w:rPr>
          <w:b/>
          <w:bCs/>
        </w:rPr>
        <w:t>Į</w:t>
      </w:r>
      <w:r w:rsidR="00640B73" w:rsidRPr="000C6DE0">
        <w:rPr>
          <w:b/>
          <w:bCs/>
        </w:rPr>
        <w:t xml:space="preserve">statymų projektuose </w:t>
      </w:r>
      <w:r w:rsidR="004011AE" w:rsidRPr="000C6DE0">
        <w:rPr>
          <w:b/>
          <w:bCs/>
        </w:rPr>
        <w:t xml:space="preserve">aptarti </w:t>
      </w:r>
      <w:r w:rsidR="00322D89" w:rsidRPr="000C6DE0">
        <w:rPr>
          <w:b/>
          <w:bCs/>
        </w:rPr>
        <w:t>teisiniai santykiai</w:t>
      </w:r>
    </w:p>
    <w:p w14:paraId="575A2A37" w14:textId="77777777" w:rsidR="00A05826" w:rsidRDefault="00A05826" w:rsidP="00ED6350">
      <w:pPr>
        <w:ind w:firstLine="720"/>
        <w:jc w:val="both"/>
      </w:pPr>
    </w:p>
    <w:p w14:paraId="2EA5E773" w14:textId="35EDE275" w:rsidR="00DF563A" w:rsidRDefault="00DF563A" w:rsidP="00DF563A">
      <w:pPr>
        <w:ind w:firstLine="709"/>
        <w:contextualSpacing/>
        <w:jc w:val="both"/>
        <w:rPr>
          <w:b/>
          <w:bCs/>
          <w:i/>
          <w:iCs/>
        </w:rPr>
      </w:pPr>
      <w:r w:rsidRPr="008B20BE">
        <w:rPr>
          <w:b/>
          <w:bCs/>
          <w:i/>
          <w:iCs/>
        </w:rPr>
        <w:t>Valstybės gynybos fondo pajamos</w:t>
      </w:r>
    </w:p>
    <w:p w14:paraId="52BD04D1" w14:textId="77777777" w:rsidR="006F5165" w:rsidRPr="008B20BE" w:rsidRDefault="006F5165" w:rsidP="00DF563A">
      <w:pPr>
        <w:ind w:firstLine="709"/>
        <w:contextualSpacing/>
        <w:jc w:val="both"/>
        <w:rPr>
          <w:b/>
          <w:bCs/>
          <w:i/>
          <w:iCs/>
        </w:rPr>
      </w:pPr>
    </w:p>
    <w:p w14:paraId="40FB6FAE" w14:textId="4C04E9CA" w:rsidR="00E94A59" w:rsidRDefault="00DF563A" w:rsidP="00E94A59">
      <w:pPr>
        <w:ind w:firstLine="720"/>
        <w:jc w:val="both"/>
        <w:rPr>
          <w:color w:val="000000"/>
        </w:rPr>
      </w:pPr>
      <w:r w:rsidRPr="004719CD">
        <w:t>Šiuo metu Valstybės gynybos</w:t>
      </w:r>
      <w:r w:rsidR="00E62EEF">
        <w:t xml:space="preserve"> </w:t>
      </w:r>
      <w:r w:rsidRPr="004719CD">
        <w:t xml:space="preserve">fondo lėšas sudaro </w:t>
      </w:r>
      <w:bookmarkStart w:id="2" w:name="part_dd286ecdad474ffba92a44d211ba21e9"/>
      <w:bookmarkEnd w:id="2"/>
      <w:r w:rsidR="00E94A59" w:rsidRPr="00E94A59">
        <w:rPr>
          <w:color w:val="000000"/>
        </w:rPr>
        <w:t>valstybės biudžeto pajamos, gautos iš laikinojo solidarumo įnašo už 2025 metų laikinojo solidarumo įnašo mokėjimo laikotarpį;</w:t>
      </w:r>
      <w:r w:rsidR="00E94A59">
        <w:rPr>
          <w:color w:val="000000"/>
        </w:rPr>
        <w:t xml:space="preserve"> </w:t>
      </w:r>
      <w:r w:rsidR="00E94A59" w:rsidRPr="00E94A59">
        <w:rPr>
          <w:color w:val="000000"/>
        </w:rPr>
        <w:t>fizinių ir juridinių asmenų, kitų organizacijų ir jų padalinių savanoriškos įmokos;</w:t>
      </w:r>
      <w:r w:rsidR="00E94A59">
        <w:rPr>
          <w:color w:val="000000"/>
        </w:rPr>
        <w:t xml:space="preserve"> </w:t>
      </w:r>
      <w:r w:rsidR="00E94A59" w:rsidRPr="00E94A59">
        <w:rPr>
          <w:color w:val="000000"/>
        </w:rPr>
        <w:t>1,9 procento valstybės biudžeto pajamų, gautų iš surinkto pelno mokesčio 2025 metais, 6 procentai – 2026 metais ir vėlesniais metais;</w:t>
      </w:r>
      <w:r w:rsidR="00E94A59">
        <w:rPr>
          <w:color w:val="000000"/>
        </w:rPr>
        <w:t xml:space="preserve"> </w:t>
      </w:r>
      <w:r w:rsidR="00E94A59" w:rsidRPr="00E94A59">
        <w:rPr>
          <w:color w:val="000000"/>
        </w:rPr>
        <w:t>4,1</w:t>
      </w:r>
      <w:r w:rsidR="006F5165">
        <w:rPr>
          <w:color w:val="000000"/>
        </w:rPr>
        <w:t> </w:t>
      </w:r>
      <w:r w:rsidR="00E94A59" w:rsidRPr="00E94A59">
        <w:rPr>
          <w:color w:val="000000"/>
        </w:rPr>
        <w:t>procento valstybės biudžeto pajamų, gautų iš akcizų 2025 metais, 7,1 procento – 2026 metais, 7,4</w:t>
      </w:r>
      <w:r w:rsidR="006F5165">
        <w:rPr>
          <w:color w:val="000000"/>
        </w:rPr>
        <w:t> </w:t>
      </w:r>
      <w:r w:rsidR="00E94A59" w:rsidRPr="00E94A59">
        <w:rPr>
          <w:color w:val="000000"/>
        </w:rPr>
        <w:t>procento – 2027 metais ir vėlesniais metais;</w:t>
      </w:r>
      <w:r w:rsidR="00E94A59">
        <w:rPr>
          <w:color w:val="000000"/>
        </w:rPr>
        <w:t xml:space="preserve"> </w:t>
      </w:r>
      <w:r w:rsidR="006F5165">
        <w:rPr>
          <w:color w:val="000000"/>
        </w:rPr>
        <w:t>pagal Lietuvos Respublikos krašto apsaugos sistemos perkančiųjų organizacijų įsigijimų sutartis mokamos palūkanos</w:t>
      </w:r>
      <w:r w:rsidR="00E94A59" w:rsidRPr="00E94A59">
        <w:rPr>
          <w:color w:val="000000"/>
        </w:rPr>
        <w:t xml:space="preserve"> ir kitos teisėtai gautos lėšos;</w:t>
      </w:r>
      <w:r w:rsidR="00E94A59">
        <w:rPr>
          <w:color w:val="000000"/>
        </w:rPr>
        <w:t xml:space="preserve"> </w:t>
      </w:r>
      <w:r w:rsidR="00E94A59" w:rsidRPr="00E94A59">
        <w:rPr>
          <w:color w:val="000000"/>
        </w:rPr>
        <w:t>25 milijonai eurų iš valstybės biudžeto pajamų, gautų iš gyventojų pajamų mokesčio, ta pačia suma sumažinus savivaldybių biudžetams tenkančią pastoviąją gyventojų pajamų mokesčio dalį (procentais)</w:t>
      </w:r>
      <w:r w:rsidR="00A31F59">
        <w:rPr>
          <w:color w:val="000000"/>
        </w:rPr>
        <w:t>.</w:t>
      </w:r>
    </w:p>
    <w:p w14:paraId="3969D62E" w14:textId="77777777" w:rsidR="009A6B99" w:rsidRDefault="009A6B99" w:rsidP="00DF563A">
      <w:pPr>
        <w:ind w:firstLine="720"/>
        <w:jc w:val="both"/>
        <w:rPr>
          <w:color w:val="000000"/>
        </w:rPr>
      </w:pPr>
    </w:p>
    <w:p w14:paraId="1757CEEA" w14:textId="1144B18B" w:rsidR="00DF563A" w:rsidRDefault="002D4E01" w:rsidP="00DF563A">
      <w:pPr>
        <w:ind w:firstLine="709"/>
        <w:contextualSpacing/>
        <w:jc w:val="both"/>
        <w:rPr>
          <w:b/>
          <w:bCs/>
          <w:i/>
          <w:iCs/>
        </w:rPr>
      </w:pPr>
      <w:r w:rsidRPr="008B20BE">
        <w:rPr>
          <w:b/>
          <w:bCs/>
          <w:i/>
          <w:iCs/>
        </w:rPr>
        <w:t>Saugumo įnašas</w:t>
      </w:r>
    </w:p>
    <w:p w14:paraId="627E0377" w14:textId="0FDA0E7B" w:rsidR="00DF563A" w:rsidRPr="004719CD" w:rsidRDefault="002D4E01" w:rsidP="00DF563A">
      <w:pPr>
        <w:ind w:firstLine="720"/>
        <w:jc w:val="both"/>
      </w:pPr>
      <w:r w:rsidRPr="004719CD">
        <w:rPr>
          <w:lang w:eastAsia="lt-LT"/>
        </w:rPr>
        <w:lastRenderedPageBreak/>
        <w:t>Šiuo metu Lietuvoje piniginių prievolių valstybei</w:t>
      </w:r>
      <w:r w:rsidR="00323D99">
        <w:rPr>
          <w:lang w:eastAsia="lt-LT"/>
        </w:rPr>
        <w:t xml:space="preserve"> (saugumo įnašo)</w:t>
      </w:r>
      <w:r w:rsidRPr="004719CD">
        <w:rPr>
          <w:lang w:eastAsia="lt-LT"/>
        </w:rPr>
        <w:t xml:space="preserve">, </w:t>
      </w:r>
      <w:r w:rsidR="0089610D">
        <w:rPr>
          <w:lang w:eastAsia="lt-LT"/>
        </w:rPr>
        <w:t>taikomų</w:t>
      </w:r>
      <w:r w:rsidRPr="004719CD">
        <w:rPr>
          <w:lang w:eastAsia="lt-LT"/>
        </w:rPr>
        <w:t xml:space="preserve"> draudimo įmok</w:t>
      </w:r>
      <w:r w:rsidR="0089610D">
        <w:rPr>
          <w:lang w:eastAsia="lt-LT"/>
        </w:rPr>
        <w:t>oms</w:t>
      </w:r>
      <w:r w:rsidR="00323D99">
        <w:rPr>
          <w:lang w:eastAsia="lt-LT"/>
        </w:rPr>
        <w:t>,</w:t>
      </w:r>
      <w:r w:rsidR="00B177AD">
        <w:rPr>
          <w:lang w:eastAsia="lt-LT"/>
        </w:rPr>
        <w:t xml:space="preserve"> </w:t>
      </w:r>
      <w:r w:rsidRPr="004719CD">
        <w:rPr>
          <w:lang w:eastAsia="lt-LT"/>
        </w:rPr>
        <w:t>nėra nustatyta.</w:t>
      </w:r>
    </w:p>
    <w:p w14:paraId="1DA64592" w14:textId="77777777" w:rsidR="00402C9D" w:rsidRDefault="00402C9D" w:rsidP="00975079">
      <w:pPr>
        <w:ind w:firstLine="720"/>
        <w:jc w:val="both"/>
        <w:rPr>
          <w:b/>
          <w:bCs/>
          <w:i/>
          <w:iCs/>
        </w:rPr>
      </w:pPr>
    </w:p>
    <w:p w14:paraId="29C0BB60" w14:textId="463C9829" w:rsidR="00975079" w:rsidRDefault="00975079" w:rsidP="00975079">
      <w:pPr>
        <w:ind w:firstLine="720"/>
        <w:jc w:val="both"/>
        <w:rPr>
          <w:b/>
          <w:bCs/>
          <w:i/>
          <w:iCs/>
        </w:rPr>
      </w:pPr>
      <w:r w:rsidRPr="008B20BE">
        <w:rPr>
          <w:b/>
          <w:bCs/>
          <w:i/>
          <w:iCs/>
        </w:rPr>
        <w:t>Mokesčių administravimas</w:t>
      </w:r>
    </w:p>
    <w:p w14:paraId="42241113" w14:textId="4AA43153" w:rsidR="009052E8" w:rsidRPr="002D4E01" w:rsidRDefault="00A31F59" w:rsidP="00975079">
      <w:pPr>
        <w:ind w:firstLine="720"/>
        <w:jc w:val="both"/>
      </w:pPr>
      <w:r>
        <w:t>Galiojančio</w:t>
      </w:r>
      <w:r w:rsidR="00975079" w:rsidRPr="002D4E01">
        <w:t xml:space="preserve"> </w:t>
      </w:r>
      <w:r>
        <w:t>Lietuvos Respublikos m</w:t>
      </w:r>
      <w:r w:rsidR="00975079" w:rsidRPr="002D4E01">
        <w:t>okesčių administravimo įstatymo 13 straipsnyje pateiktas baigt</w:t>
      </w:r>
      <w:r w:rsidR="001521C0">
        <w:t>ini</w:t>
      </w:r>
      <w:r w:rsidR="00975079" w:rsidRPr="002D4E01">
        <w:t>s pagal Mokesčių administravimo įstatymą administruojamų mokesčių</w:t>
      </w:r>
      <w:r w:rsidRPr="00A31F59">
        <w:t xml:space="preserve"> </w:t>
      </w:r>
      <w:r w:rsidRPr="002D4E01">
        <w:t>sąrašas</w:t>
      </w:r>
      <w:r w:rsidR="00975079" w:rsidRPr="002D4E01">
        <w:t xml:space="preserve">, tačiau šiame sąraše nėra </w:t>
      </w:r>
      <w:r w:rsidR="004719CD">
        <w:t>saugumo įnašo</w:t>
      </w:r>
      <w:r w:rsidR="00975079" w:rsidRPr="002D4E01">
        <w:t xml:space="preserve">. Tinkamam </w:t>
      </w:r>
      <w:r w:rsidR="004719CD" w:rsidRPr="004719CD">
        <w:rPr>
          <w:lang w:eastAsia="lt-LT"/>
        </w:rPr>
        <w:t xml:space="preserve">piniginių prievolių valstybei, </w:t>
      </w:r>
      <w:r w:rsidR="0089610D">
        <w:rPr>
          <w:lang w:eastAsia="lt-LT"/>
        </w:rPr>
        <w:t>taikomų</w:t>
      </w:r>
      <w:r w:rsidR="004719CD" w:rsidRPr="004719CD">
        <w:rPr>
          <w:lang w:eastAsia="lt-LT"/>
        </w:rPr>
        <w:t xml:space="preserve"> draudimo įmok</w:t>
      </w:r>
      <w:r w:rsidR="0089610D">
        <w:rPr>
          <w:lang w:eastAsia="lt-LT"/>
        </w:rPr>
        <w:t>oms</w:t>
      </w:r>
      <w:r w:rsidR="004719CD">
        <w:rPr>
          <w:lang w:eastAsia="lt-LT"/>
        </w:rPr>
        <w:t>,</w:t>
      </w:r>
      <w:r w:rsidR="004719CD" w:rsidRPr="002D4E01">
        <w:t xml:space="preserve"> </w:t>
      </w:r>
      <w:r w:rsidR="00975079" w:rsidRPr="002D4E01">
        <w:t xml:space="preserve">administravimui įteisinti tikslinga </w:t>
      </w:r>
      <w:r>
        <w:t>šio</w:t>
      </w:r>
      <w:r w:rsidRPr="002D4E01">
        <w:t xml:space="preserve"> </w:t>
      </w:r>
      <w:r w:rsidR="00975079" w:rsidRPr="002D4E01">
        <w:t>įstatymo 13 straipsnyje pateiktą sąrašą papildyti formuluote „</w:t>
      </w:r>
      <w:r w:rsidR="004719CD">
        <w:t>saugumo įnašas</w:t>
      </w:r>
      <w:r w:rsidR="00975079" w:rsidRPr="002D4E01">
        <w:t>“.</w:t>
      </w:r>
    </w:p>
    <w:p w14:paraId="44872FE1" w14:textId="77777777" w:rsidR="00402C9D" w:rsidRDefault="00402C9D" w:rsidP="00F85FEB">
      <w:pPr>
        <w:ind w:firstLine="709"/>
        <w:jc w:val="both"/>
        <w:rPr>
          <w:b/>
          <w:bCs/>
        </w:rPr>
      </w:pPr>
    </w:p>
    <w:p w14:paraId="39932958" w14:textId="675860D1" w:rsidR="00B72919" w:rsidRPr="000C6DE0" w:rsidRDefault="00B72919" w:rsidP="00F85FEB">
      <w:pPr>
        <w:ind w:firstLine="709"/>
        <w:jc w:val="both"/>
      </w:pPr>
      <w:r w:rsidRPr="000C6DE0">
        <w:rPr>
          <w:b/>
          <w:bCs/>
        </w:rPr>
        <w:t xml:space="preserve">4. </w:t>
      </w:r>
      <w:r w:rsidR="00322D89" w:rsidRPr="000C6DE0">
        <w:rPr>
          <w:b/>
          <w:bCs/>
        </w:rPr>
        <w:t>Siūlomos n</w:t>
      </w:r>
      <w:r w:rsidRPr="000C6DE0">
        <w:rPr>
          <w:b/>
          <w:bCs/>
        </w:rPr>
        <w:t xml:space="preserve">aujos teisinio </w:t>
      </w:r>
      <w:r w:rsidR="00322D89" w:rsidRPr="000C6DE0">
        <w:rPr>
          <w:b/>
          <w:bCs/>
        </w:rPr>
        <w:t>reguliavimo</w:t>
      </w:r>
      <w:r w:rsidRPr="000C6DE0">
        <w:rPr>
          <w:b/>
          <w:bCs/>
        </w:rPr>
        <w:t xml:space="preserve"> nuostatos ir kokių teigiamų rezultatų </w:t>
      </w:r>
      <w:r w:rsidR="00322D89" w:rsidRPr="000C6DE0">
        <w:rPr>
          <w:b/>
          <w:bCs/>
        </w:rPr>
        <w:t>laukiama</w:t>
      </w:r>
    </w:p>
    <w:p w14:paraId="7CE2774F" w14:textId="77777777" w:rsidR="005D7927" w:rsidRDefault="005D7927" w:rsidP="005D7927">
      <w:pPr>
        <w:pStyle w:val="Pagrindiniotekstotrauka3"/>
        <w:spacing w:before="0" w:after="0" w:line="240" w:lineRule="auto"/>
        <w:rPr>
          <w:b/>
          <w:bCs/>
        </w:rPr>
      </w:pPr>
      <w:bookmarkStart w:id="3" w:name="_Hlk166580822"/>
    </w:p>
    <w:p w14:paraId="72A51A14" w14:textId="7F87194C" w:rsidR="005D7927" w:rsidRDefault="005D7927" w:rsidP="005D7927">
      <w:pPr>
        <w:pStyle w:val="Pagrindiniotekstotrauka3"/>
        <w:spacing w:before="0" w:after="0" w:line="240" w:lineRule="auto"/>
        <w:rPr>
          <w:b/>
          <w:bCs/>
          <w:i/>
          <w:iCs/>
        </w:rPr>
      </w:pPr>
      <w:r w:rsidRPr="005D7927">
        <w:rPr>
          <w:b/>
          <w:bCs/>
          <w:i/>
          <w:iCs/>
        </w:rPr>
        <w:t>Valstybės gynybos fondo įstatymo projektas</w:t>
      </w:r>
    </w:p>
    <w:p w14:paraId="40BEBCDC" w14:textId="77777777" w:rsidR="005234FF" w:rsidRDefault="005234FF" w:rsidP="005234FF">
      <w:pPr>
        <w:pStyle w:val="Pagrindiniotekstotrauka3"/>
        <w:spacing w:before="0" w:after="0" w:line="240" w:lineRule="auto"/>
        <w:rPr>
          <w:color w:val="000000"/>
        </w:rPr>
      </w:pPr>
      <w:r w:rsidRPr="000C6DE0">
        <w:t>Valstybės gynybos fondo įstatymo projekte siūloma nustatyti</w:t>
      </w:r>
      <w:r>
        <w:t>,</w:t>
      </w:r>
      <w:r w:rsidRPr="005D7927">
        <w:t xml:space="preserve"> </w:t>
      </w:r>
      <w:r w:rsidRPr="000C6DE0">
        <w:t>kad</w:t>
      </w:r>
      <w:r>
        <w:t>,</w:t>
      </w:r>
      <w:r w:rsidRPr="000C6DE0">
        <w:t xml:space="preserve"> </w:t>
      </w:r>
      <w:r>
        <w:t xml:space="preserve">priėmus Įstatymų projektus, </w:t>
      </w:r>
      <w:r w:rsidRPr="000C6DE0">
        <w:t xml:space="preserve">Valstybės gynybos </w:t>
      </w:r>
      <w:r w:rsidRPr="000C6DE0">
        <w:rPr>
          <w:lang w:eastAsia="lt-LT"/>
        </w:rPr>
        <w:t>fondo lėšas</w:t>
      </w:r>
      <w:r>
        <w:rPr>
          <w:lang w:eastAsia="lt-LT"/>
        </w:rPr>
        <w:t xml:space="preserve">, be esamų šaltinių, </w:t>
      </w:r>
      <w:r w:rsidRPr="000C6DE0">
        <w:rPr>
          <w:lang w:eastAsia="lt-LT"/>
        </w:rPr>
        <w:t>sudarys</w:t>
      </w:r>
      <w:r>
        <w:rPr>
          <w:color w:val="000000"/>
        </w:rPr>
        <w:t>:</w:t>
      </w:r>
    </w:p>
    <w:p w14:paraId="70602181" w14:textId="77777777" w:rsidR="005234FF" w:rsidRPr="00DF563A" w:rsidRDefault="005234FF" w:rsidP="005234FF">
      <w:pPr>
        <w:ind w:firstLine="720"/>
        <w:jc w:val="both"/>
        <w:rPr>
          <w:color w:val="000000"/>
        </w:rPr>
      </w:pPr>
      <w:r>
        <w:rPr>
          <w:color w:val="000000"/>
        </w:rPr>
        <w:t>1) valstybė</w:t>
      </w:r>
      <w:r w:rsidRPr="00DF563A">
        <w:rPr>
          <w:color w:val="000000"/>
        </w:rPr>
        <w:t>s</w:t>
      </w:r>
      <w:r>
        <w:rPr>
          <w:color w:val="000000"/>
        </w:rPr>
        <w:t xml:space="preserve"> biudžeto</w:t>
      </w:r>
      <w:r w:rsidRPr="00DF563A">
        <w:rPr>
          <w:color w:val="000000"/>
        </w:rPr>
        <w:t xml:space="preserve"> </w:t>
      </w:r>
      <w:r>
        <w:rPr>
          <w:color w:val="000000"/>
        </w:rPr>
        <w:t>pajamos, gautos iš</w:t>
      </w:r>
      <w:r w:rsidRPr="00DF563A">
        <w:rPr>
          <w:color w:val="000000"/>
        </w:rPr>
        <w:t xml:space="preserve"> saugumo įnaš</w:t>
      </w:r>
      <w:r>
        <w:rPr>
          <w:color w:val="000000"/>
        </w:rPr>
        <w:t>o;</w:t>
      </w:r>
      <w:r w:rsidRPr="00DF563A">
        <w:rPr>
          <w:color w:val="000000"/>
        </w:rPr>
        <w:t> </w:t>
      </w:r>
    </w:p>
    <w:p w14:paraId="32F24D0C" w14:textId="77777777" w:rsidR="005234FF" w:rsidRPr="00BD73C4" w:rsidRDefault="005234FF" w:rsidP="005234FF">
      <w:pPr>
        <w:ind w:firstLine="709"/>
        <w:jc w:val="both"/>
        <w:rPr>
          <w:bCs/>
        </w:rPr>
      </w:pPr>
      <w:r w:rsidRPr="00257867">
        <w:t xml:space="preserve">2) </w:t>
      </w:r>
      <w:r w:rsidRPr="00BD73C4">
        <w:rPr>
          <w:bCs/>
        </w:rPr>
        <w:t>8 procentai</w:t>
      </w:r>
      <w:r w:rsidRPr="00BD73C4">
        <w:rPr>
          <w:bCs/>
          <w:color w:val="FF0000"/>
        </w:rPr>
        <w:t xml:space="preserve"> </w:t>
      </w:r>
      <w:r w:rsidRPr="00BD73C4">
        <w:rPr>
          <w:bCs/>
        </w:rPr>
        <w:t>– 2026 metais, 11,2 procento – 2027 metais ir vėlesniais metais valstybės biudžeto pajamų, gautų iš pelno mokesčio, papildomai pajamų surenkant priėmus Lietuvos Respublikos pelno mokesčio įstatymo pakeitimus – dėl standartinio ir lengvatinių pelno mokesčių tarifų padidinimo 1 procentiniu punktu, taip pat nuostolių atskaitymo ribojimų;</w:t>
      </w:r>
    </w:p>
    <w:p w14:paraId="14829084" w14:textId="41EB1463" w:rsidR="005234FF" w:rsidRPr="00582082" w:rsidRDefault="005234FF" w:rsidP="005234FF">
      <w:pPr>
        <w:ind w:firstLine="709"/>
        <w:contextualSpacing/>
        <w:jc w:val="both"/>
        <w:rPr>
          <w:bCs/>
        </w:rPr>
      </w:pPr>
      <w:r w:rsidRPr="00BD73C4">
        <w:rPr>
          <w:bCs/>
        </w:rPr>
        <w:t>3</w:t>
      </w:r>
      <w:r w:rsidRPr="00582082">
        <w:rPr>
          <w:bCs/>
        </w:rPr>
        <w:t xml:space="preserve">) </w:t>
      </w:r>
      <w:r w:rsidR="00582082" w:rsidRPr="00582082">
        <w:rPr>
          <w:bCs/>
          <w:color w:val="000000"/>
          <w:lang w:eastAsia="lt-LT"/>
        </w:rPr>
        <w:t xml:space="preserve">2 </w:t>
      </w:r>
      <w:r w:rsidR="00582082" w:rsidRPr="00627886">
        <w:rPr>
          <w:bCs/>
          <w:color w:val="000000"/>
          <w:lang w:eastAsia="lt-LT"/>
        </w:rPr>
        <w:t xml:space="preserve">procentai </w:t>
      </w:r>
      <w:r w:rsidR="00627886" w:rsidRPr="00627886">
        <w:rPr>
          <w:bCs/>
          <w:color w:val="000000"/>
          <w:lang w:eastAsia="lt-LT"/>
        </w:rPr>
        <w:t xml:space="preserve">(neatsižvelgiant į Valstybės gynybos fondo 4 straipsnio 1 dalies 6 punkte nurodytas </w:t>
      </w:r>
      <w:r w:rsidR="00627886" w:rsidRPr="00627886">
        <w:rPr>
          <w:bCs/>
        </w:rPr>
        <w:t xml:space="preserve">Valstybės gynybos fondo lėšas) </w:t>
      </w:r>
      <w:r w:rsidR="00582082" w:rsidRPr="00627886">
        <w:rPr>
          <w:bCs/>
          <w:color w:val="000000"/>
          <w:lang w:eastAsia="lt-LT"/>
        </w:rPr>
        <w:t>valstybės</w:t>
      </w:r>
      <w:r w:rsidR="00582082" w:rsidRPr="00582082">
        <w:rPr>
          <w:bCs/>
          <w:color w:val="000000"/>
          <w:lang w:eastAsia="lt-LT"/>
        </w:rPr>
        <w:t xml:space="preserve"> biudžeto ir savivaldybių biudžetų pajamų</w:t>
      </w:r>
      <w:r w:rsidR="00582082" w:rsidRPr="00582082">
        <w:rPr>
          <w:bCs/>
        </w:rPr>
        <w:t xml:space="preserve">, </w:t>
      </w:r>
      <w:r w:rsidR="00582082" w:rsidRPr="00582082">
        <w:rPr>
          <w:bCs/>
          <w:color w:val="000000"/>
          <w:lang w:eastAsia="lt-LT"/>
        </w:rPr>
        <w:t>gautų iš gyventojų pajamų mokesčio</w:t>
      </w:r>
      <w:r w:rsidRPr="00582082">
        <w:rPr>
          <w:bCs/>
        </w:rPr>
        <w:t>;</w:t>
      </w:r>
    </w:p>
    <w:p w14:paraId="14D50372" w14:textId="77777777" w:rsidR="0008323B" w:rsidRDefault="005234FF" w:rsidP="00211D5B">
      <w:pPr>
        <w:ind w:firstLine="709"/>
        <w:contextualSpacing/>
        <w:jc w:val="both"/>
      </w:pPr>
      <w:r>
        <w:t xml:space="preserve">4) </w:t>
      </w:r>
      <w:r w:rsidRPr="00BD73C4">
        <w:rPr>
          <w:bCs/>
        </w:rPr>
        <w:t>8 procentai – 2026 metais, 8,4 procento – 2027 metais ir vėlesniais metais valstybės biudžeto pajamų, gautų iš akcizų, papildomai pajamų surenkant iš akci</w:t>
      </w:r>
      <w:r w:rsidRPr="00257867">
        <w:t>zų</w:t>
      </w:r>
      <w:r>
        <w:t xml:space="preserve"> </w:t>
      </w:r>
      <w:r w:rsidRPr="00257867">
        <w:t>nealkoholiniams saldintiems gėrimams</w:t>
      </w:r>
      <w:r w:rsidR="0008323B">
        <w:t>;</w:t>
      </w:r>
    </w:p>
    <w:p w14:paraId="65F31C70" w14:textId="4CAE771A" w:rsidR="00BD73C4" w:rsidRPr="00BD73C4" w:rsidRDefault="0008323B" w:rsidP="00211D5B">
      <w:pPr>
        <w:ind w:firstLine="709"/>
        <w:contextualSpacing/>
        <w:jc w:val="both"/>
      </w:pPr>
      <w:r>
        <w:t>5</w:t>
      </w:r>
      <w:r w:rsidRPr="00BD73C4">
        <w:t>)</w:t>
      </w:r>
      <w:r w:rsidRPr="00BD73C4">
        <w:rPr>
          <w:color w:val="000000"/>
          <w:sz w:val="28"/>
          <w:szCs w:val="28"/>
          <w:lang w:eastAsia="lt-LT"/>
        </w:rPr>
        <w:t xml:space="preserve"> </w:t>
      </w:r>
      <w:r>
        <w:rPr>
          <w:color w:val="000000"/>
        </w:rPr>
        <w:t>valstybė</w:t>
      </w:r>
      <w:r w:rsidRPr="00DF563A">
        <w:rPr>
          <w:color w:val="000000"/>
        </w:rPr>
        <w:t>s</w:t>
      </w:r>
      <w:r>
        <w:rPr>
          <w:color w:val="000000"/>
        </w:rPr>
        <w:t xml:space="preserve"> biudžeto</w:t>
      </w:r>
      <w:r w:rsidRPr="00DF563A">
        <w:rPr>
          <w:color w:val="000000"/>
        </w:rPr>
        <w:t xml:space="preserve"> </w:t>
      </w:r>
      <w:r>
        <w:rPr>
          <w:color w:val="000000"/>
        </w:rPr>
        <w:t xml:space="preserve">pajamos, gautos iš </w:t>
      </w:r>
      <w:r w:rsidRPr="00BD73C4">
        <w:rPr>
          <w:color w:val="000000"/>
          <w:lang w:eastAsia="lt-LT"/>
        </w:rPr>
        <w:t xml:space="preserve">nekilnojamojo turto mokesčio pagal </w:t>
      </w:r>
      <w:r w:rsidRPr="00BD73C4">
        <w:rPr>
          <w:bCs/>
        </w:rPr>
        <w:t xml:space="preserve">Lietuvos Respublikos </w:t>
      </w:r>
      <w:r>
        <w:rPr>
          <w:color w:val="000000"/>
          <w:lang w:eastAsia="lt-LT"/>
        </w:rPr>
        <w:t>n</w:t>
      </w:r>
      <w:r w:rsidRPr="00BD73C4">
        <w:rPr>
          <w:color w:val="000000"/>
          <w:lang w:eastAsia="lt-LT"/>
        </w:rPr>
        <w:t>ekilnojamojo turto mokesčio įstatymo 13 straipsnio 3 dalį</w:t>
      </w:r>
      <w:r w:rsidR="00DA33EA">
        <w:rPr>
          <w:color w:val="000000"/>
          <w:lang w:eastAsia="lt-LT"/>
        </w:rPr>
        <w:t>.</w:t>
      </w:r>
      <w:r w:rsidR="00BD73C4" w:rsidRPr="00BD73C4">
        <w:rPr>
          <w:color w:val="000000"/>
          <w:lang w:eastAsia="lt-LT"/>
        </w:rPr>
        <w:t xml:space="preserve"> </w:t>
      </w:r>
    </w:p>
    <w:p w14:paraId="044BFFE8" w14:textId="77777777" w:rsidR="005D7927" w:rsidRPr="005D7927" w:rsidRDefault="005D7927" w:rsidP="009052E8">
      <w:pPr>
        <w:pStyle w:val="Pagrindiniotekstotrauka3"/>
        <w:spacing w:before="0" w:after="0" w:line="240" w:lineRule="auto"/>
        <w:rPr>
          <w:b/>
          <w:bCs/>
        </w:rPr>
      </w:pPr>
    </w:p>
    <w:p w14:paraId="3C4F9ABA" w14:textId="77777777" w:rsidR="0008323B" w:rsidRDefault="0008323B" w:rsidP="0008323B">
      <w:pPr>
        <w:ind w:firstLine="709"/>
        <w:contextualSpacing/>
        <w:jc w:val="both"/>
        <w:rPr>
          <w:b/>
          <w:bCs/>
          <w:i/>
          <w:iCs/>
        </w:rPr>
      </w:pPr>
      <w:r w:rsidRPr="005D7927">
        <w:rPr>
          <w:b/>
          <w:bCs/>
          <w:i/>
          <w:iCs/>
        </w:rPr>
        <w:t>Saugumo įnašo įstatymo projektas</w:t>
      </w:r>
    </w:p>
    <w:p w14:paraId="54EF9A53" w14:textId="77777777" w:rsidR="0008323B" w:rsidRPr="00EE1CE2" w:rsidRDefault="0008323B" w:rsidP="0008323B">
      <w:pPr>
        <w:ind w:firstLine="720"/>
        <w:jc w:val="both"/>
        <w:rPr>
          <w:lang w:eastAsia="lt-LT"/>
        </w:rPr>
      </w:pPr>
      <w:r>
        <w:rPr>
          <w:lang w:eastAsia="lt-LT"/>
        </w:rPr>
        <w:t>Saugumo įnašo</w:t>
      </w:r>
      <w:r w:rsidRPr="00323D99">
        <w:rPr>
          <w:lang w:eastAsia="lt-LT"/>
        </w:rPr>
        <w:t xml:space="preserve"> įstatymo projektu siūloma nustatyti piniginę prievolę valstybei (saugumo įnašą), </w:t>
      </w:r>
      <w:r>
        <w:rPr>
          <w:lang w:eastAsia="lt-LT"/>
        </w:rPr>
        <w:t>taikomą</w:t>
      </w:r>
      <w:r w:rsidRPr="00323D99">
        <w:rPr>
          <w:lang w:eastAsia="lt-LT"/>
        </w:rPr>
        <w:t xml:space="preserve"> ne gyvybės draudimo įmok</w:t>
      </w:r>
      <w:r>
        <w:rPr>
          <w:lang w:eastAsia="lt-LT"/>
        </w:rPr>
        <w:t>oms</w:t>
      </w:r>
      <w:r w:rsidRPr="00323D99">
        <w:rPr>
          <w:lang w:eastAsia="lt-LT"/>
        </w:rPr>
        <w:t>, kai draudimo rizika yra Lietuvos Respublikoje.</w:t>
      </w:r>
      <w:r w:rsidRPr="003C16D9">
        <w:rPr>
          <w:color w:val="365F91" w:themeColor="accent1" w:themeShade="BF"/>
          <w:lang w:eastAsia="lt-LT"/>
        </w:rPr>
        <w:t xml:space="preserve"> </w:t>
      </w:r>
      <w:r w:rsidRPr="00596DDA">
        <w:rPr>
          <w:lang w:eastAsia="lt-LT"/>
        </w:rPr>
        <w:t>Saugumo įnašo objektu pasirinktos paslaugos, kurios iki šiol dar nebuvo apmokestintos.</w:t>
      </w:r>
      <w:r>
        <w:rPr>
          <w:color w:val="365F91" w:themeColor="accent1" w:themeShade="BF"/>
          <w:lang w:eastAsia="lt-LT"/>
        </w:rPr>
        <w:t xml:space="preserve"> </w:t>
      </w:r>
      <w:r w:rsidRPr="00EE1CE2">
        <w:t>Atkreiptinas dėmesys, kad</w:t>
      </w:r>
      <w:r>
        <w:t>,</w:t>
      </w:r>
      <w:r w:rsidRPr="00EE1CE2">
        <w:t xml:space="preserve"> pagal 2006 m. lapkričio 28 d. </w:t>
      </w:r>
      <w:r w:rsidRPr="00EE1CE2">
        <w:rPr>
          <w:lang w:eastAsia="lt-LT"/>
        </w:rPr>
        <w:t>Tarybos direktyvos</w:t>
      </w:r>
      <w:r w:rsidRPr="00EE1CE2">
        <w:t xml:space="preserve"> 2006/112/EB dėl pridėtinės vertės mokesčio bendros sistemos 135 straipsnį</w:t>
      </w:r>
      <w:r>
        <w:t>,</w:t>
      </w:r>
      <w:r w:rsidRPr="00EE1CE2">
        <w:t xml:space="preserve"> draudimo paslaugos yra neapmokestinamos pridėtinės vertės mokesčiu, tačiau</w:t>
      </w:r>
      <w:r>
        <w:t>,</w:t>
      </w:r>
      <w:r w:rsidRPr="00EE1CE2">
        <w:t xml:space="preserve"> </w:t>
      </w:r>
      <w:r w:rsidRPr="00EE1CE2">
        <w:rPr>
          <w:lang w:eastAsia="lt-LT"/>
        </w:rPr>
        <w:t>p</w:t>
      </w:r>
      <w:r w:rsidRPr="00EE1CE2" w:rsidDel="00153019">
        <w:rPr>
          <w:lang w:eastAsia="lt-LT"/>
        </w:rPr>
        <w:t>agal 2009 m. lapkričio 25 d. Europos Parlamento ir Tarybos direktyvos 2009/138/EB dėl draudimo ir perdraudimo verslo pradėjimo ir vykdymo (Mokumas II) 157 straipsnį</w:t>
      </w:r>
      <w:r>
        <w:rPr>
          <w:lang w:eastAsia="lt-LT"/>
        </w:rPr>
        <w:t>,</w:t>
      </w:r>
      <w:r w:rsidRPr="00EE1CE2" w:rsidDel="00153019">
        <w:rPr>
          <w:lang w:eastAsia="lt-LT"/>
        </w:rPr>
        <w:t xml:space="preserve"> draudimo įmokos gali būti apmokestinamos netiesioginiais ir </w:t>
      </w:r>
      <w:proofErr w:type="spellStart"/>
      <w:r w:rsidRPr="00EE1CE2" w:rsidDel="00153019">
        <w:rPr>
          <w:lang w:eastAsia="lt-LT"/>
        </w:rPr>
        <w:t>parafiskaliniais</w:t>
      </w:r>
      <w:proofErr w:type="spellEnd"/>
      <w:r w:rsidRPr="00EE1CE2" w:rsidDel="00153019">
        <w:rPr>
          <w:lang w:eastAsia="lt-LT"/>
        </w:rPr>
        <w:t xml:space="preserve"> mokesčiais</w:t>
      </w:r>
      <w:r>
        <w:rPr>
          <w:lang w:eastAsia="lt-LT"/>
        </w:rPr>
        <w:t>,</w:t>
      </w:r>
      <w:r w:rsidRPr="00EE1CE2" w:rsidDel="00153019">
        <w:rPr>
          <w:lang w:eastAsia="lt-LT"/>
        </w:rPr>
        <w:t xml:space="preserve"> taikomais valstybėje narėje, kurioje yra draudimo rizika</w:t>
      </w:r>
      <w:r w:rsidRPr="00EE1CE2">
        <w:rPr>
          <w:lang w:eastAsia="lt-LT"/>
        </w:rPr>
        <w:t xml:space="preserve">. </w:t>
      </w:r>
      <w:r w:rsidRPr="00952BA0">
        <w:rPr>
          <w:lang w:eastAsia="lt-LT"/>
        </w:rPr>
        <w:t xml:space="preserve">Netiesioginiai mokesčiai taikomi prekėms ir paslaugoms, o ne pajamoms ar pelnui. </w:t>
      </w:r>
      <w:r>
        <w:rPr>
          <w:lang w:eastAsia="lt-LT"/>
        </w:rPr>
        <w:t>Atsižvelgiant į tai, kad</w:t>
      </w:r>
      <w:r w:rsidRPr="00952BA0">
        <w:rPr>
          <w:lang w:eastAsia="lt-LT"/>
        </w:rPr>
        <w:t xml:space="preserve"> </w:t>
      </w:r>
      <w:r>
        <w:rPr>
          <w:lang w:eastAsia="lt-LT"/>
        </w:rPr>
        <w:t>s</w:t>
      </w:r>
      <w:r w:rsidRPr="00952BA0">
        <w:rPr>
          <w:lang w:eastAsia="lt-LT"/>
        </w:rPr>
        <w:t xml:space="preserve">augumo </w:t>
      </w:r>
      <w:r>
        <w:rPr>
          <w:lang w:eastAsia="lt-LT"/>
        </w:rPr>
        <w:t>į</w:t>
      </w:r>
      <w:r w:rsidRPr="00952BA0">
        <w:rPr>
          <w:lang w:eastAsia="lt-LT"/>
        </w:rPr>
        <w:t>našas</w:t>
      </w:r>
      <w:r>
        <w:rPr>
          <w:lang w:eastAsia="lt-LT"/>
        </w:rPr>
        <w:t xml:space="preserve"> </w:t>
      </w:r>
      <w:r w:rsidRPr="00952BA0">
        <w:rPr>
          <w:lang w:eastAsia="lt-LT"/>
        </w:rPr>
        <w:t>bus taikomas draudimo įmokoms (kaip vienai iš paslaugų rūšių), bendrąj</w:t>
      </w:r>
      <w:r>
        <w:rPr>
          <w:lang w:eastAsia="lt-LT"/>
        </w:rPr>
        <w:t>a</w:t>
      </w:r>
      <w:r w:rsidRPr="00952BA0">
        <w:rPr>
          <w:lang w:eastAsia="lt-LT"/>
        </w:rPr>
        <w:t xml:space="preserve"> prasme jis laikytinas netiesioginiu mokesčiu.</w:t>
      </w:r>
    </w:p>
    <w:p w14:paraId="07004A4E" w14:textId="39AC0FD7" w:rsidR="0008323B" w:rsidRPr="00EE1CE2" w:rsidRDefault="0008323B" w:rsidP="0008323B">
      <w:pPr>
        <w:ind w:firstLine="720"/>
        <w:jc w:val="both"/>
        <w:rPr>
          <w:lang w:eastAsia="lt-LT"/>
        </w:rPr>
      </w:pPr>
      <w:r w:rsidRPr="0064690D">
        <w:rPr>
          <w:lang w:eastAsia="lt-LT"/>
        </w:rPr>
        <w:t xml:space="preserve">Prievolė mokėti saugumo įnašą atsirastų </w:t>
      </w:r>
      <w:r>
        <w:rPr>
          <w:lang w:eastAsia="lt-LT"/>
        </w:rPr>
        <w:t xml:space="preserve">Draudimo įstatymo 3 straipsnio 1 dalyje nustatytiems draudikams, t. y. visiems Lietuvoje veikiantiems draudikams – </w:t>
      </w:r>
      <w:r w:rsidRPr="0064690D">
        <w:rPr>
          <w:lang w:eastAsia="lt-LT"/>
        </w:rPr>
        <w:t xml:space="preserve">Lietuvos draudimo įmonėms, </w:t>
      </w:r>
      <w:r w:rsidRPr="00972F66">
        <w:t>kitų Europos ekonominės erdvės valstybių draudimo įmonė</w:t>
      </w:r>
      <w:r>
        <w:t>m</w:t>
      </w:r>
      <w:r w:rsidRPr="00972F66">
        <w:t>s, įgyvendinančio</w:t>
      </w:r>
      <w:r>
        <w:t>m</w:t>
      </w:r>
      <w:r w:rsidRPr="00972F66">
        <w:t xml:space="preserve">s įsisteigimo teisę ir (ar) teisę teikti </w:t>
      </w:r>
      <w:r>
        <w:t xml:space="preserve">paslaugas </w:t>
      </w:r>
      <w:r w:rsidRPr="0064690D">
        <w:rPr>
          <w:lang w:eastAsia="lt-LT"/>
        </w:rPr>
        <w:t>Lietuvoje</w:t>
      </w:r>
      <w:r>
        <w:rPr>
          <w:lang w:eastAsia="lt-LT"/>
        </w:rPr>
        <w:t>,</w:t>
      </w:r>
      <w:r w:rsidRPr="0064690D">
        <w:rPr>
          <w:lang w:eastAsia="lt-LT"/>
        </w:rPr>
        <w:t xml:space="preserve"> trečiųjų valstybių draudimo įmonių filialams</w:t>
      </w:r>
      <w:r>
        <w:rPr>
          <w:color w:val="365F91" w:themeColor="accent1" w:themeShade="BF"/>
          <w:lang w:eastAsia="lt-LT"/>
        </w:rPr>
        <w:t xml:space="preserve"> </w:t>
      </w:r>
      <w:r w:rsidRPr="00972BF8">
        <w:rPr>
          <w:lang w:eastAsia="lt-LT"/>
        </w:rPr>
        <w:t>ir Pasaulio prekybos organizacijos narių, kurios yra trečiosios valstybės, draudimo įmonėms, neįsteigusioms filialo, tačiau galinčioms vykdyti tik laivų ir skraidymo aparatų, su jų valdymu susijusios civilinės atsakomybės savanoriškojo draudimo bei laivais (jūrų ir vidaus vandenų) ir skraidymo aparatais vežamų krovinių savanoriškojo draudimo veiklą.</w:t>
      </w:r>
      <w:r>
        <w:rPr>
          <w:lang w:eastAsia="lt-LT"/>
        </w:rPr>
        <w:t xml:space="preserve"> </w:t>
      </w:r>
      <w:r>
        <w:t>Saugumo įnašo bazė būtų per saugumo įnašo mokėjimo laikotarpį sudarytose ir (ar) pratęstose, ir (ar) pakeistose</w:t>
      </w:r>
      <w:r w:rsidRPr="00B32870">
        <w:t xml:space="preserve"> </w:t>
      </w:r>
      <w:r>
        <w:t>ne gyvybės draudimo sutartyse, t. y. sutartyse, kuriose</w:t>
      </w:r>
      <w:r>
        <w:rPr>
          <w:color w:val="000000"/>
          <w:lang w:eastAsia="lt-LT"/>
        </w:rPr>
        <w:t xml:space="preserve"> </w:t>
      </w:r>
      <w:r>
        <w:rPr>
          <w:color w:val="000000"/>
          <w:lang w:eastAsia="lt-LT"/>
        </w:rPr>
        <w:lastRenderedPageBreak/>
        <w:t>pasikeitė</w:t>
      </w:r>
      <w:r w:rsidRPr="00F61B66">
        <w:rPr>
          <w:color w:val="000000"/>
          <w:lang w:eastAsia="lt-LT"/>
        </w:rPr>
        <w:t xml:space="preserve"> sąlygos, dėl kurių sumažėj</w:t>
      </w:r>
      <w:r>
        <w:rPr>
          <w:color w:val="000000"/>
          <w:lang w:eastAsia="lt-LT"/>
        </w:rPr>
        <w:t>o</w:t>
      </w:r>
      <w:r w:rsidRPr="00F61B66">
        <w:rPr>
          <w:color w:val="000000"/>
          <w:lang w:eastAsia="lt-LT"/>
        </w:rPr>
        <w:t xml:space="preserve"> ar padidėj</w:t>
      </w:r>
      <w:r>
        <w:rPr>
          <w:color w:val="000000"/>
          <w:lang w:eastAsia="lt-LT"/>
        </w:rPr>
        <w:t>o</w:t>
      </w:r>
      <w:r w:rsidRPr="00F61B66">
        <w:rPr>
          <w:color w:val="000000"/>
          <w:lang w:eastAsia="lt-LT"/>
        </w:rPr>
        <w:t xml:space="preserve"> </w:t>
      </w:r>
      <w:r>
        <w:rPr>
          <w:color w:val="000000"/>
          <w:lang w:eastAsia="lt-LT"/>
        </w:rPr>
        <w:t>draudimo įmoka,</w:t>
      </w:r>
      <w:r>
        <w:t xml:space="preserve"> nurodytų draudimo įmokų, </w:t>
      </w:r>
      <w:r w:rsidRPr="00972F66">
        <w:rPr>
          <w:color w:val="000000"/>
        </w:rPr>
        <w:t>apskaičiuot</w:t>
      </w:r>
      <w:r>
        <w:rPr>
          <w:color w:val="000000"/>
        </w:rPr>
        <w:t>ų</w:t>
      </w:r>
      <w:r w:rsidRPr="00972F66">
        <w:rPr>
          <w:color w:val="000000"/>
        </w:rPr>
        <w:t xml:space="preserve"> visam ne gyvybės draudimo sutarties galiojimo laikotarpiui</w:t>
      </w:r>
      <w:r w:rsidRPr="00972F66">
        <w:t xml:space="preserve">, </w:t>
      </w:r>
      <w:r>
        <w:t xml:space="preserve">suma, apskaičiuota </w:t>
      </w:r>
      <w:proofErr w:type="spellStart"/>
      <w:r w:rsidRPr="00A86868">
        <w:rPr>
          <w:i/>
          <w:iCs/>
        </w:rPr>
        <w:t>mutatis</w:t>
      </w:r>
      <w:proofErr w:type="spellEnd"/>
      <w:r w:rsidRPr="00A86868">
        <w:rPr>
          <w:i/>
          <w:iCs/>
        </w:rPr>
        <w:t xml:space="preserve"> </w:t>
      </w:r>
      <w:proofErr w:type="spellStart"/>
      <w:r w:rsidRPr="00A86868">
        <w:rPr>
          <w:i/>
          <w:iCs/>
        </w:rPr>
        <w:t>mutandis</w:t>
      </w:r>
      <w:proofErr w:type="spellEnd"/>
      <w:r>
        <w:t xml:space="preserve"> taikant </w:t>
      </w:r>
      <w:r w:rsidRPr="005F302F">
        <w:t>2023 m. balandžio 4 d. Komisijos įgyvendinimo reglament</w:t>
      </w:r>
      <w:r>
        <w:t>o</w:t>
      </w:r>
      <w:r w:rsidRPr="005F302F">
        <w:t xml:space="preserve"> (ES) 2023/894, kuriuo nustatomi Europos Parlamento ir Tarybos direktyvos 2009/138/EB taikymo techniniai įgyvendinimo standartai, susiję su draudimo ir perdraudimo įmonių jų priežiūrai būtinos informacijos teikimo priežiūros institucijoms formomis, ir panaikinamas Įgyvendinimo reglamentas (ES) 2015/2450</w:t>
      </w:r>
      <w:r>
        <w:t>, II priedo S.05.01 skirsnyje „</w:t>
      </w:r>
      <w:r w:rsidRPr="006A207F">
        <w:t>Įmokos, išmokos ir sąnaudos pagal draudimo rūšis</w:t>
      </w:r>
      <w:r>
        <w:t>“ pateiktus nurodymus, taikomus apskaičiuojant pasirašytas įmokas.</w:t>
      </w:r>
      <w:r w:rsidRPr="00972F66">
        <w:t xml:space="preserve"> </w:t>
      </w:r>
      <w:r>
        <w:t>Lietuvos Respublikos saugumo įnašo</w:t>
      </w:r>
      <w:r w:rsidRPr="00FA1F6E">
        <w:t xml:space="preserve"> įstatymo tikslais skaičiuojant </w:t>
      </w:r>
      <w:r>
        <w:t xml:space="preserve">saugumo įnašo bazę pagal šio įstatymo 4 straipsnio 1 dalies nuostatas, į saugumo įnašo bazę traukiamos </w:t>
      </w:r>
      <w:r w:rsidRPr="00FA1F6E">
        <w:t>draudimo įmokos</w:t>
      </w:r>
      <w:r>
        <w:t xml:space="preserve"> pagal tokias pakeistas ne gyvybės draudimo sutartis, kurioms šis įstatymas taikomas, t. y., pavyzdžiui, draudimo įmokų sumą galima mažinti grąžintomis draudimo įmokomis, tik jei jos jau buvo apmokestintos. Saugumo įnašo bazei, nustatytai pagal transporto priemonių valdytojų civilinės atsakomybės privalomojo draudimo sutartis, sudarytas su fiziniais asmenimis (draudėjais)</w:t>
      </w:r>
      <w:r w:rsidR="00423851">
        <w:t xml:space="preserve"> dėl transporto priemonių, kurios nėra naudojamos ūkinei veiklai vykdyti</w:t>
      </w:r>
      <w:r>
        <w:t xml:space="preserve">, siūloma nustatyti </w:t>
      </w:r>
      <w:r w:rsidR="00023E93">
        <w:t>0</w:t>
      </w:r>
      <w:r w:rsidRPr="00A922C6">
        <w:t xml:space="preserve"> procentų</w:t>
      </w:r>
      <w:r>
        <w:t xml:space="preserve"> </w:t>
      </w:r>
      <w:r w:rsidR="00023E93">
        <w:t>saugumo įnašo</w:t>
      </w:r>
      <w:r>
        <w:t xml:space="preserve"> tarifą. Saugumo įnašo bazei, nustatytai pagal kitas, nei prieš tai nurodyta, ne gyvybės draudimo sutartis, siūloma nustatyti 1</w:t>
      </w:r>
      <w:r w:rsidRPr="00A922C6">
        <w:t>0 procentų</w:t>
      </w:r>
      <w:r>
        <w:t xml:space="preserve"> saugumo įnašo tarifą.</w:t>
      </w:r>
      <w:r w:rsidRPr="00EE1CE2">
        <w:rPr>
          <w:lang w:eastAsia="lt-LT"/>
        </w:rPr>
        <w:t xml:space="preserve"> Pažymėtina, kad draudimo įmokų mokestis taikomas didžiojoje dalyje Europos Sąjungos valstybių narių, kuriose mokesčio dydis svyruoja nuo 24 iki 1 procento. </w:t>
      </w:r>
      <w:r>
        <w:rPr>
          <w:lang w:eastAsia="lt-LT"/>
        </w:rPr>
        <w:t xml:space="preserve">Tarifo dydis nustatytas atsižvelgiant į kitų valstybių taikomą draudimo įmokų apmokestinimo praktiką ir tai, kad 10 procentų daugmaž atitiktų kitų valstybių taikomą vidutinį dydį. </w:t>
      </w:r>
      <w:r w:rsidRPr="00EE1CE2">
        <w:rPr>
          <w:lang w:eastAsia="lt-LT"/>
        </w:rPr>
        <w:t xml:space="preserve">Saugumo įnašas būtų mokamas ir šio įnašo deklaracija būtų teikiama kalendoriniam ketvirčiui pasibaigus, iki kito mėnesio 15 dienos. </w:t>
      </w:r>
      <w:r>
        <w:rPr>
          <w:lang w:eastAsia="lt-LT"/>
        </w:rPr>
        <w:t>Saugumo įnašo</w:t>
      </w:r>
      <w:r w:rsidRPr="00EE1CE2">
        <w:rPr>
          <w:lang w:eastAsia="lt-LT"/>
        </w:rPr>
        <w:t xml:space="preserve"> įstatymo projektu siūloma nustatyti, kad saugumo įnašas būtų taikomas nuo 202</w:t>
      </w:r>
      <w:r>
        <w:rPr>
          <w:lang w:eastAsia="lt-LT"/>
        </w:rPr>
        <w:t>6 </w:t>
      </w:r>
      <w:r w:rsidRPr="00EE1CE2">
        <w:rPr>
          <w:lang w:eastAsia="lt-LT"/>
        </w:rPr>
        <w:t xml:space="preserve">m. </w:t>
      </w:r>
      <w:r>
        <w:rPr>
          <w:lang w:eastAsia="lt-LT"/>
        </w:rPr>
        <w:t>sausio</w:t>
      </w:r>
      <w:r w:rsidRPr="00EE1CE2">
        <w:rPr>
          <w:lang w:eastAsia="lt-LT"/>
        </w:rPr>
        <w:t> 1 d. sudarytoms ir</w:t>
      </w:r>
      <w:r>
        <w:rPr>
          <w:lang w:eastAsia="lt-LT"/>
        </w:rPr>
        <w:t xml:space="preserve"> (</w:t>
      </w:r>
      <w:r w:rsidRPr="00EE1CE2">
        <w:rPr>
          <w:lang w:eastAsia="lt-LT"/>
        </w:rPr>
        <w:t>ar</w:t>
      </w:r>
      <w:r>
        <w:rPr>
          <w:lang w:eastAsia="lt-LT"/>
        </w:rPr>
        <w:t>)</w:t>
      </w:r>
      <w:r w:rsidRPr="00EE1CE2">
        <w:rPr>
          <w:lang w:eastAsia="lt-LT"/>
        </w:rPr>
        <w:t xml:space="preserve"> pratęstoms</w:t>
      </w:r>
      <w:r>
        <w:rPr>
          <w:lang w:eastAsia="lt-LT"/>
        </w:rPr>
        <w:t>, ir (ar) pakeistoms</w:t>
      </w:r>
      <w:r w:rsidRPr="00EE1CE2">
        <w:rPr>
          <w:lang w:eastAsia="lt-LT"/>
        </w:rPr>
        <w:t xml:space="preserve"> ne gyvybės draudimo sutartims</w:t>
      </w:r>
      <w:r>
        <w:rPr>
          <w:lang w:eastAsia="lt-LT"/>
        </w:rPr>
        <w:t>,</w:t>
      </w:r>
      <w:r w:rsidRPr="00EE1CE2">
        <w:rPr>
          <w:lang w:eastAsia="lt-LT"/>
        </w:rPr>
        <w:t xml:space="preserve"> jeigu iki </w:t>
      </w:r>
      <w:r>
        <w:rPr>
          <w:lang w:eastAsia="lt-LT"/>
        </w:rPr>
        <w:t>Saugumo įnašo</w:t>
      </w:r>
      <w:r w:rsidRPr="00EE1CE2">
        <w:rPr>
          <w:lang w:eastAsia="lt-LT"/>
        </w:rPr>
        <w:t xml:space="preserve"> įstatymo įsigaliojimo </w:t>
      </w:r>
      <w:r>
        <w:rPr>
          <w:lang w:eastAsia="lt-LT"/>
        </w:rPr>
        <w:t xml:space="preserve">dienos </w:t>
      </w:r>
      <w:r w:rsidRPr="00EE1CE2">
        <w:rPr>
          <w:lang w:eastAsia="lt-LT"/>
        </w:rPr>
        <w:t xml:space="preserve">sudaryta ne gyvybės draudimo sutartis būtų </w:t>
      </w:r>
      <w:r>
        <w:rPr>
          <w:lang w:eastAsia="lt-LT"/>
        </w:rPr>
        <w:t>pakeista</w:t>
      </w:r>
      <w:r w:rsidRPr="00EE1CE2">
        <w:rPr>
          <w:lang w:eastAsia="lt-LT"/>
        </w:rPr>
        <w:t xml:space="preserve"> įsigaliojus šiam įstatymui ir jeigu toks pakeitimas būtų susijęs su nauja, papildoma ar </w:t>
      </w:r>
      <w:r>
        <w:rPr>
          <w:lang w:eastAsia="lt-LT"/>
        </w:rPr>
        <w:t>pakeista</w:t>
      </w:r>
      <w:r w:rsidRPr="00EE1CE2">
        <w:rPr>
          <w:lang w:eastAsia="lt-LT"/>
        </w:rPr>
        <w:t xml:space="preserve"> draudimo įmoka</w:t>
      </w:r>
      <w:r>
        <w:rPr>
          <w:lang w:eastAsia="lt-LT"/>
        </w:rPr>
        <w:t>,</w:t>
      </w:r>
      <w:r w:rsidRPr="00EE1CE2">
        <w:rPr>
          <w:lang w:eastAsia="lt-LT"/>
        </w:rPr>
        <w:t xml:space="preserve"> nei buvo nustatyta pradinėje sutartyje.</w:t>
      </w:r>
      <w:r>
        <w:rPr>
          <w:lang w:eastAsia="lt-LT"/>
        </w:rPr>
        <w:t xml:space="preserve"> Siekiant kuo sklandesnio įstatymo praktinio taikymo, Saugumo įnašo įstatymo projekte taip pat numatoma, kad Lietuvos bankas turėtų </w:t>
      </w:r>
      <w:r>
        <w:rPr>
          <w:bCs/>
          <w:lang w:eastAsia="lt-LT"/>
        </w:rPr>
        <w:t xml:space="preserve">kitų Europos ekonominės erdvės valstybių priežiūros institucijoms pranešti apie naują reguliavimą, taikomą </w:t>
      </w:r>
      <w:r>
        <w:t>tų</w:t>
      </w:r>
      <w:r w:rsidRPr="00972F66">
        <w:t xml:space="preserve"> valstybių draudimo įmonė</w:t>
      </w:r>
      <w:r>
        <w:t>m</w:t>
      </w:r>
      <w:r w:rsidRPr="00972F66">
        <w:t>s, įgyvendinančio</w:t>
      </w:r>
      <w:r>
        <w:t>m</w:t>
      </w:r>
      <w:r w:rsidRPr="00972F66">
        <w:t>s įsisteigimo teisę ir (ar)</w:t>
      </w:r>
      <w:r>
        <w:t xml:space="preserve"> </w:t>
      </w:r>
      <w:r w:rsidRPr="00972F66">
        <w:t xml:space="preserve">teisę teikti </w:t>
      </w:r>
      <w:r>
        <w:t>paslaugas Lietuvos Respublikoje.</w:t>
      </w:r>
    </w:p>
    <w:p w14:paraId="312F583F" w14:textId="77777777" w:rsidR="0008323B" w:rsidRDefault="0008323B" w:rsidP="0008323B">
      <w:pPr>
        <w:ind w:firstLine="851"/>
        <w:contextualSpacing/>
        <w:jc w:val="both"/>
        <w:rPr>
          <w:szCs w:val="20"/>
        </w:rPr>
      </w:pPr>
      <w:r w:rsidRPr="00007E3F">
        <w:rPr>
          <w:lang w:eastAsia="lt-LT"/>
        </w:rPr>
        <w:t xml:space="preserve">Iš Lietuvoje veikiančių 19 </w:t>
      </w:r>
      <w:r>
        <w:rPr>
          <w:lang w:eastAsia="lt-LT"/>
        </w:rPr>
        <w:t xml:space="preserve">Lietuvos draudimo įmonių ir Lietuvoje įsteigtų Europos ekonominės erdvės valstybių draudimo įmonių filialų </w:t>
      </w:r>
      <w:r w:rsidRPr="00007E3F">
        <w:rPr>
          <w:lang w:eastAsia="lt-LT"/>
        </w:rPr>
        <w:t>1</w:t>
      </w:r>
      <w:r>
        <w:rPr>
          <w:lang w:eastAsia="lt-LT"/>
        </w:rPr>
        <w:t>4</w:t>
      </w:r>
      <w:r w:rsidRPr="00007E3F">
        <w:rPr>
          <w:lang w:eastAsia="lt-LT"/>
        </w:rPr>
        <w:t xml:space="preserve"> teikia ne gyvybės draudimo paslaugas.</w:t>
      </w:r>
      <w:r>
        <w:rPr>
          <w:color w:val="365F91" w:themeColor="accent1" w:themeShade="BF"/>
          <w:lang w:eastAsia="lt-LT"/>
        </w:rPr>
        <w:t xml:space="preserve"> </w:t>
      </w:r>
      <w:r w:rsidRPr="00457A0C">
        <w:rPr>
          <w:lang w:eastAsia="lt-LT"/>
        </w:rPr>
        <w:t>Per 202</w:t>
      </w:r>
      <w:r>
        <w:rPr>
          <w:lang w:eastAsia="lt-LT"/>
        </w:rPr>
        <w:t>4</w:t>
      </w:r>
      <w:r w:rsidRPr="00457A0C">
        <w:rPr>
          <w:lang w:eastAsia="lt-LT"/>
        </w:rPr>
        <w:t> m</w:t>
      </w:r>
      <w:r>
        <w:rPr>
          <w:lang w:eastAsia="lt-LT"/>
        </w:rPr>
        <w:t>etus</w:t>
      </w:r>
      <w:r w:rsidRPr="00457A0C">
        <w:rPr>
          <w:lang w:eastAsia="lt-LT"/>
        </w:rPr>
        <w:t xml:space="preserve"> jie gavo 1 </w:t>
      </w:r>
      <w:r>
        <w:t>212</w:t>
      </w:r>
      <w:r w:rsidRPr="00457A0C">
        <w:rPr>
          <w:lang w:eastAsia="lt-LT"/>
        </w:rPr>
        <w:t xml:space="preserve"> mln. eurų</w:t>
      </w:r>
      <w:r>
        <w:rPr>
          <w:lang w:eastAsia="lt-LT"/>
        </w:rPr>
        <w:t xml:space="preserve"> ne gyvybės</w:t>
      </w:r>
      <w:r w:rsidRPr="00457A0C">
        <w:rPr>
          <w:lang w:eastAsia="lt-LT"/>
        </w:rPr>
        <w:t xml:space="preserve"> draudimo įmokų</w:t>
      </w:r>
      <w:r>
        <w:t>.</w:t>
      </w:r>
    </w:p>
    <w:p w14:paraId="58204F9A" w14:textId="77777777" w:rsidR="00AA70D8" w:rsidRDefault="00AA70D8" w:rsidP="00DF563A">
      <w:pPr>
        <w:ind w:firstLine="851"/>
        <w:contextualSpacing/>
        <w:jc w:val="both"/>
        <w:rPr>
          <w:lang w:eastAsia="lt-LT"/>
        </w:rPr>
      </w:pPr>
    </w:p>
    <w:p w14:paraId="40A65165" w14:textId="28F09950" w:rsidR="00DF563A" w:rsidRDefault="00DF563A" w:rsidP="00DF563A">
      <w:pPr>
        <w:pStyle w:val="Pagrindiniotekstotrauka3"/>
        <w:spacing w:before="0" w:after="0" w:line="240" w:lineRule="auto"/>
        <w:rPr>
          <w:b/>
          <w:bCs/>
          <w:i/>
          <w:iCs/>
          <w:szCs w:val="24"/>
        </w:rPr>
      </w:pPr>
      <w:r w:rsidRPr="005D7927">
        <w:rPr>
          <w:b/>
          <w:bCs/>
          <w:i/>
          <w:iCs/>
        </w:rPr>
        <w:t>M</w:t>
      </w:r>
      <w:r w:rsidR="005D7927" w:rsidRPr="005D7927">
        <w:rPr>
          <w:b/>
          <w:bCs/>
          <w:i/>
          <w:iCs/>
        </w:rPr>
        <w:t xml:space="preserve">okesčių administravimo įstatymo </w:t>
      </w:r>
      <w:r w:rsidRPr="005D7927">
        <w:rPr>
          <w:b/>
          <w:bCs/>
          <w:i/>
          <w:iCs/>
        </w:rPr>
        <w:t>projektas</w:t>
      </w:r>
      <w:r w:rsidRPr="005D7927">
        <w:rPr>
          <w:b/>
          <w:bCs/>
          <w:i/>
          <w:iCs/>
          <w:szCs w:val="24"/>
        </w:rPr>
        <w:t xml:space="preserve"> </w:t>
      </w:r>
    </w:p>
    <w:p w14:paraId="478D7931" w14:textId="214400BB" w:rsidR="00DF563A" w:rsidRPr="005D7927" w:rsidRDefault="00DF563A" w:rsidP="00DF563A">
      <w:pPr>
        <w:pStyle w:val="Pagrindiniotekstotrauka3"/>
        <w:spacing w:before="0" w:after="0" w:line="240" w:lineRule="auto"/>
      </w:pPr>
      <w:r w:rsidRPr="005D7927">
        <w:rPr>
          <w:szCs w:val="24"/>
        </w:rPr>
        <w:t xml:space="preserve">Priėmus </w:t>
      </w:r>
      <w:r w:rsidR="005D7927" w:rsidRPr="005D7927">
        <w:rPr>
          <w:szCs w:val="24"/>
        </w:rPr>
        <w:t>Mokesčių administravimo įstatymo projektą</w:t>
      </w:r>
      <w:r w:rsidRPr="005D7927">
        <w:t xml:space="preserve">, bus nustatyta, kad pagal </w:t>
      </w:r>
      <w:r w:rsidR="005D7927" w:rsidRPr="005D7927">
        <w:t xml:space="preserve">Mokesčių administravimo įstatymą </w:t>
      </w:r>
      <w:r w:rsidRPr="005D7927">
        <w:t xml:space="preserve">yra administruojamas </w:t>
      </w:r>
      <w:r w:rsidR="005D7927" w:rsidRPr="005D7927">
        <w:t>saugumo įnašas</w:t>
      </w:r>
      <w:r w:rsidRPr="005D7927">
        <w:t>, o šios nuostatos įsigalioja 202</w:t>
      </w:r>
      <w:r w:rsidR="009A2E15">
        <w:t>6</w:t>
      </w:r>
      <w:r w:rsidRPr="005D7927">
        <w:t xml:space="preserve"> m. </w:t>
      </w:r>
      <w:r w:rsidR="009A2E15">
        <w:t>sausio</w:t>
      </w:r>
      <w:r w:rsidRPr="005D7927">
        <w:t xml:space="preserve"> 1 d. </w:t>
      </w:r>
    </w:p>
    <w:bookmarkEnd w:id="3"/>
    <w:p w14:paraId="7021A499" w14:textId="77777777" w:rsidR="002A6AC1" w:rsidRDefault="002A6AC1" w:rsidP="00E70F92">
      <w:pPr>
        <w:pStyle w:val="Pagrindiniotekstotrauka3"/>
        <w:spacing w:before="0" w:after="0" w:line="240" w:lineRule="auto"/>
        <w:rPr>
          <w:b/>
          <w:szCs w:val="24"/>
        </w:rPr>
      </w:pPr>
    </w:p>
    <w:p w14:paraId="001DF948" w14:textId="00DB1783" w:rsidR="00106C7C" w:rsidRPr="000C6DE0" w:rsidRDefault="00D94726" w:rsidP="00E70F92">
      <w:pPr>
        <w:pStyle w:val="Pagrindiniotekstotrauka3"/>
        <w:spacing w:before="0" w:after="0" w:line="240" w:lineRule="auto"/>
        <w:rPr>
          <w:b/>
          <w:szCs w:val="24"/>
        </w:rPr>
      </w:pPr>
      <w:r w:rsidRPr="000C6DE0">
        <w:rPr>
          <w:b/>
          <w:szCs w:val="24"/>
        </w:rPr>
        <w:t xml:space="preserve">5. </w:t>
      </w:r>
      <w:r w:rsidR="009D6297" w:rsidRPr="000C6DE0">
        <w:rPr>
          <w:b/>
          <w:bCs/>
          <w:szCs w:val="24"/>
        </w:rPr>
        <w:t xml:space="preserve">Numatomo teisinio reguliavimo poveikio vertinimo rezultatai, </w:t>
      </w:r>
      <w:r w:rsidR="009D6297" w:rsidRPr="000C6DE0">
        <w:rPr>
          <w:b/>
          <w:szCs w:val="24"/>
        </w:rPr>
        <w:t>g</w:t>
      </w:r>
      <w:r w:rsidRPr="000C6DE0">
        <w:rPr>
          <w:b/>
          <w:szCs w:val="24"/>
        </w:rPr>
        <w:t>alimos neigiamos priimt</w:t>
      </w:r>
      <w:r w:rsidR="00B928E0" w:rsidRPr="000C6DE0">
        <w:rPr>
          <w:b/>
          <w:szCs w:val="24"/>
        </w:rPr>
        <w:t>ų</w:t>
      </w:r>
      <w:r w:rsidRPr="000C6DE0">
        <w:rPr>
          <w:b/>
          <w:szCs w:val="24"/>
        </w:rPr>
        <w:t xml:space="preserve"> įstatym</w:t>
      </w:r>
      <w:r w:rsidR="00B928E0" w:rsidRPr="000C6DE0">
        <w:rPr>
          <w:b/>
          <w:szCs w:val="24"/>
        </w:rPr>
        <w:t>ų</w:t>
      </w:r>
      <w:r w:rsidR="00106C7C" w:rsidRPr="000C6DE0">
        <w:rPr>
          <w:b/>
          <w:szCs w:val="24"/>
        </w:rPr>
        <w:t xml:space="preserve"> pasekmės ir kokių priemonių reikia imtis, kad tokių pasekmių būtų išvengta</w:t>
      </w:r>
    </w:p>
    <w:p w14:paraId="2859EAC8" w14:textId="32EA6721" w:rsidR="009A4AC8" w:rsidRPr="000C6DE0" w:rsidRDefault="00216AD6" w:rsidP="000251B7">
      <w:pPr>
        <w:ind w:firstLine="709"/>
        <w:jc w:val="both"/>
        <w:rPr>
          <w:bCs/>
          <w:iCs/>
        </w:rPr>
      </w:pPr>
      <w:r w:rsidRPr="00F308A6">
        <w:rPr>
          <w:bCs/>
        </w:rPr>
        <w:t xml:space="preserve">Įvedus naują </w:t>
      </w:r>
      <w:r>
        <w:rPr>
          <w:bCs/>
        </w:rPr>
        <w:t>piniginę prievolę</w:t>
      </w:r>
      <w:r w:rsidR="00226378">
        <w:rPr>
          <w:bCs/>
        </w:rPr>
        <w:t xml:space="preserve"> valstybei (saugumo įnašą)</w:t>
      </w:r>
      <w:r>
        <w:rPr>
          <w:bCs/>
        </w:rPr>
        <w:t xml:space="preserve">, </w:t>
      </w:r>
      <w:r w:rsidR="0089610D">
        <w:rPr>
          <w:bCs/>
        </w:rPr>
        <w:t>taikomą</w:t>
      </w:r>
      <w:r w:rsidRPr="00F308A6">
        <w:rPr>
          <w:bCs/>
        </w:rPr>
        <w:t xml:space="preserve"> ne gyvybės draudimo įmok</w:t>
      </w:r>
      <w:r w:rsidR="0089610D">
        <w:rPr>
          <w:bCs/>
        </w:rPr>
        <w:t>oms</w:t>
      </w:r>
      <w:r w:rsidRPr="00F308A6">
        <w:rPr>
          <w:bCs/>
        </w:rPr>
        <w:t>, galim</w:t>
      </w:r>
      <w:r w:rsidR="006F5165">
        <w:rPr>
          <w:bCs/>
        </w:rPr>
        <w:t>o</w:t>
      </w:r>
      <w:r w:rsidR="00C946F8">
        <w:rPr>
          <w:bCs/>
        </w:rPr>
        <w:t xml:space="preserve"> </w:t>
      </w:r>
      <w:r w:rsidR="00C946F8" w:rsidRPr="00F308A6">
        <w:rPr>
          <w:bCs/>
        </w:rPr>
        <w:t>šių paslaugų kainos padidėjimo našta</w:t>
      </w:r>
      <w:r w:rsidRPr="00F308A6">
        <w:rPr>
          <w:bCs/>
        </w:rPr>
        <w:t xml:space="preserve"> gali </w:t>
      </w:r>
      <w:r w:rsidR="0091790F">
        <w:rPr>
          <w:bCs/>
        </w:rPr>
        <w:t>lėtinti</w:t>
      </w:r>
      <w:r w:rsidRPr="00F308A6">
        <w:rPr>
          <w:bCs/>
        </w:rPr>
        <w:t xml:space="preserve"> draudimo </w:t>
      </w:r>
      <w:r w:rsidR="0091790F">
        <w:rPr>
          <w:bCs/>
        </w:rPr>
        <w:t>skvarbos augimą</w:t>
      </w:r>
      <w:r w:rsidRPr="00F308A6">
        <w:rPr>
          <w:bCs/>
        </w:rPr>
        <w:t xml:space="preserve"> Lietuvoje, tačiau </w:t>
      </w:r>
      <w:r w:rsidR="0079167C">
        <w:rPr>
          <w:bCs/>
        </w:rPr>
        <w:t>taip pat</w:t>
      </w:r>
      <w:r w:rsidRPr="00F308A6">
        <w:rPr>
          <w:bCs/>
        </w:rPr>
        <w:t xml:space="preserve"> turės ir teigiamą poveikį, </w:t>
      </w:r>
      <w:r w:rsidR="00887119">
        <w:rPr>
          <w:bCs/>
        </w:rPr>
        <w:t>nes</w:t>
      </w:r>
      <w:r w:rsidR="00887119" w:rsidRPr="00F308A6">
        <w:rPr>
          <w:bCs/>
        </w:rPr>
        <w:t xml:space="preserve"> </w:t>
      </w:r>
      <w:r w:rsidRPr="00F308A6">
        <w:rPr>
          <w:bCs/>
        </w:rPr>
        <w:t xml:space="preserve">iš </w:t>
      </w:r>
      <w:r w:rsidR="00ED2396">
        <w:rPr>
          <w:bCs/>
        </w:rPr>
        <w:t>saugumo įnašo</w:t>
      </w:r>
      <w:r w:rsidRPr="00F308A6">
        <w:rPr>
          <w:bCs/>
        </w:rPr>
        <w:t xml:space="preserve"> surinktos lėšos bus naudojamos gynybos tikslams, o tai prisidės prie šalies saugumo, kartu didins investuotojų pasitikėjimą.</w:t>
      </w:r>
    </w:p>
    <w:p w14:paraId="6CB05882" w14:textId="77777777" w:rsidR="002C00B8" w:rsidRPr="000C6DE0" w:rsidRDefault="002C00B8" w:rsidP="00E70F92">
      <w:pPr>
        <w:pStyle w:val="Pagrindiniotekstotrauka3"/>
        <w:spacing w:before="0" w:after="0" w:line="240" w:lineRule="auto"/>
        <w:rPr>
          <w:szCs w:val="24"/>
        </w:rPr>
      </w:pPr>
    </w:p>
    <w:p w14:paraId="44406506" w14:textId="77777777" w:rsidR="00106C7C" w:rsidRPr="000C6DE0" w:rsidRDefault="003400DE" w:rsidP="00E70F92">
      <w:pPr>
        <w:pStyle w:val="Pagrindinistekstas"/>
        <w:spacing w:after="0"/>
        <w:ind w:firstLine="720"/>
        <w:jc w:val="both"/>
        <w:rPr>
          <w:b/>
        </w:rPr>
      </w:pPr>
      <w:r w:rsidRPr="000C6DE0">
        <w:rPr>
          <w:b/>
        </w:rPr>
        <w:t xml:space="preserve">6. Galima </w:t>
      </w:r>
      <w:r w:rsidR="00B43AEA" w:rsidRPr="000C6DE0">
        <w:rPr>
          <w:b/>
        </w:rPr>
        <w:t xml:space="preserve">priimtų įstatymų </w:t>
      </w:r>
      <w:r w:rsidRPr="000C6DE0">
        <w:rPr>
          <w:b/>
        </w:rPr>
        <w:t>įtaka kriminogeninei situacijai, korupcijai</w:t>
      </w:r>
    </w:p>
    <w:p w14:paraId="0479AEF8" w14:textId="25BB51E2" w:rsidR="000251B7" w:rsidRPr="000C6DE0" w:rsidRDefault="00216AD6" w:rsidP="000251B7">
      <w:pPr>
        <w:pStyle w:val="Pagrindinistekstas"/>
        <w:spacing w:after="0"/>
        <w:ind w:firstLine="720"/>
        <w:jc w:val="both"/>
      </w:pPr>
      <w:r>
        <w:t>Į</w:t>
      </w:r>
      <w:r w:rsidR="000251B7" w:rsidRPr="000C6DE0">
        <w:t xml:space="preserve">statymų projektų priėmimas įtakos kriminogeninei situacijai, korupcijai neturės. </w:t>
      </w:r>
    </w:p>
    <w:p w14:paraId="765916BA" w14:textId="77777777" w:rsidR="002C00B8" w:rsidRPr="000C6DE0" w:rsidRDefault="002C00B8" w:rsidP="00E70F92">
      <w:pPr>
        <w:pStyle w:val="Pagrindinistekstas"/>
        <w:spacing w:after="0"/>
        <w:ind w:firstLine="720"/>
        <w:jc w:val="both"/>
      </w:pPr>
    </w:p>
    <w:p w14:paraId="52C9CC63" w14:textId="77777777" w:rsidR="003400DE" w:rsidRPr="000C6DE0" w:rsidRDefault="003400DE" w:rsidP="00E70F92">
      <w:pPr>
        <w:pStyle w:val="Pagrindinistekstas"/>
        <w:spacing w:after="0"/>
        <w:ind w:firstLine="720"/>
        <w:jc w:val="both"/>
        <w:rPr>
          <w:b/>
        </w:rPr>
      </w:pPr>
      <w:r w:rsidRPr="000C6DE0">
        <w:rPr>
          <w:b/>
        </w:rPr>
        <w:t xml:space="preserve">7. </w:t>
      </w:r>
      <w:r w:rsidR="001A6640" w:rsidRPr="000C6DE0">
        <w:rPr>
          <w:b/>
        </w:rPr>
        <w:t xml:space="preserve">Galima </w:t>
      </w:r>
      <w:r w:rsidR="00B43AEA" w:rsidRPr="000C6DE0">
        <w:rPr>
          <w:b/>
        </w:rPr>
        <w:t xml:space="preserve">priimtų įstatymų </w:t>
      </w:r>
      <w:r w:rsidR="001A6640" w:rsidRPr="000C6DE0">
        <w:rPr>
          <w:b/>
        </w:rPr>
        <w:t>įtaka verslo sąlygoms ir plėtrai</w:t>
      </w:r>
    </w:p>
    <w:p w14:paraId="407FA6DD" w14:textId="6F886F9D" w:rsidR="000251B7" w:rsidRPr="000C6DE0" w:rsidRDefault="00226378" w:rsidP="000251B7">
      <w:pPr>
        <w:tabs>
          <w:tab w:val="left" w:pos="900"/>
        </w:tabs>
        <w:ind w:firstLine="709"/>
        <w:jc w:val="both"/>
      </w:pPr>
      <w:r w:rsidRPr="00F308A6">
        <w:lastRenderedPageBreak/>
        <w:t xml:space="preserve">Dėl įvesto </w:t>
      </w:r>
      <w:r>
        <w:t xml:space="preserve">saugumo įnašo, mokamo nuo </w:t>
      </w:r>
      <w:r w:rsidRPr="00F308A6">
        <w:t>ne gyvybės draudimo įmok</w:t>
      </w:r>
      <w:r>
        <w:t>ų,</w:t>
      </w:r>
      <w:r w:rsidRPr="00F308A6">
        <w:t xml:space="preserve"> galimai padidėjusi ne gyvybės draudimo paslaugų kaina gali turėti įtakos šių paslaugų patrauklumui</w:t>
      </w:r>
      <w:r w:rsidR="00CC4B84">
        <w:t>. Tačiau</w:t>
      </w:r>
      <w:r w:rsidR="00F61330">
        <w:t xml:space="preserve"> </w:t>
      </w:r>
      <w:r w:rsidR="00F61330" w:rsidRPr="00F308A6">
        <w:rPr>
          <w:bCs/>
        </w:rPr>
        <w:t xml:space="preserve">tai turės ir teigiamą poveikį, </w:t>
      </w:r>
      <w:r w:rsidR="00887119">
        <w:rPr>
          <w:bCs/>
        </w:rPr>
        <w:t>nes</w:t>
      </w:r>
      <w:r w:rsidR="00887119" w:rsidRPr="00F308A6">
        <w:rPr>
          <w:bCs/>
        </w:rPr>
        <w:t xml:space="preserve"> </w:t>
      </w:r>
      <w:r w:rsidR="00F61330" w:rsidRPr="00F308A6">
        <w:rPr>
          <w:bCs/>
        </w:rPr>
        <w:t>iš mokesčio surinktos lėšos bus naudojamos gynybos tikslams, o tai prisidės prie šalies saugumo, kartu didins investuotojų pasitikėjimą</w:t>
      </w:r>
      <w:r w:rsidRPr="00F308A6">
        <w:t xml:space="preserve">. </w:t>
      </w:r>
      <w:r w:rsidR="000251B7" w:rsidRPr="000C6DE0">
        <w:t xml:space="preserve"> </w:t>
      </w:r>
    </w:p>
    <w:p w14:paraId="47D45A80" w14:textId="77777777" w:rsidR="00A22824" w:rsidRPr="000C6DE0" w:rsidRDefault="00A22824" w:rsidP="00E70F92">
      <w:pPr>
        <w:pStyle w:val="Pagrindinistekstas"/>
        <w:spacing w:after="0"/>
        <w:ind w:firstLine="720"/>
        <w:jc w:val="both"/>
        <w:rPr>
          <w:b/>
        </w:rPr>
      </w:pPr>
    </w:p>
    <w:p w14:paraId="2CB0FB51" w14:textId="1D1EF61C" w:rsidR="00A60F60" w:rsidRPr="000C6DE0" w:rsidRDefault="00A60F60" w:rsidP="00E70F92">
      <w:pPr>
        <w:pStyle w:val="Pagrindinistekstas"/>
        <w:spacing w:after="0"/>
        <w:ind w:firstLine="720"/>
        <w:jc w:val="both"/>
        <w:rPr>
          <w:b/>
        </w:rPr>
      </w:pPr>
      <w:r w:rsidRPr="000C6DE0">
        <w:rPr>
          <w:b/>
        </w:rPr>
        <w:t xml:space="preserve">8. Ar </w:t>
      </w:r>
      <w:r w:rsidR="00D27E24" w:rsidRPr="000C6DE0">
        <w:rPr>
          <w:b/>
        </w:rPr>
        <w:t>Į</w:t>
      </w:r>
      <w:r w:rsidRPr="000C6DE0">
        <w:rPr>
          <w:b/>
        </w:rPr>
        <w:t>statym</w:t>
      </w:r>
      <w:r w:rsidR="00D63786" w:rsidRPr="000C6DE0">
        <w:rPr>
          <w:b/>
        </w:rPr>
        <w:t>ų</w:t>
      </w:r>
      <w:r w:rsidRPr="000C6DE0">
        <w:rPr>
          <w:b/>
        </w:rPr>
        <w:t xml:space="preserve"> projekta</w:t>
      </w:r>
      <w:r w:rsidR="00D63786" w:rsidRPr="000C6DE0">
        <w:rPr>
          <w:b/>
        </w:rPr>
        <w:t>i</w:t>
      </w:r>
      <w:r w:rsidRPr="000C6DE0">
        <w:rPr>
          <w:b/>
        </w:rPr>
        <w:t xml:space="preserve"> neprieštarauja strateginio lygmens planavimo dokumentams</w:t>
      </w:r>
    </w:p>
    <w:p w14:paraId="1CA629F2" w14:textId="77777777" w:rsidR="00A60F60" w:rsidRPr="000C6DE0" w:rsidRDefault="00A60F60" w:rsidP="00A60F60">
      <w:pPr>
        <w:pStyle w:val="Pagrindinistekstas"/>
        <w:spacing w:after="0"/>
        <w:ind w:firstLine="720"/>
        <w:jc w:val="both"/>
      </w:pPr>
      <w:r w:rsidRPr="000C6DE0">
        <w:t>Įstatymų projektai neprieštarauja strateginio lygmens planavimo dokumentams.</w:t>
      </w:r>
      <w:r w:rsidRPr="000C6DE0" w:rsidDel="00B43AEA">
        <w:t xml:space="preserve"> </w:t>
      </w:r>
    </w:p>
    <w:p w14:paraId="2DA3E263" w14:textId="77777777" w:rsidR="00A60F60" w:rsidRPr="000C6DE0" w:rsidRDefault="00A60F60" w:rsidP="00E70F92">
      <w:pPr>
        <w:pStyle w:val="Pagrindinistekstas"/>
        <w:spacing w:after="0"/>
        <w:ind w:firstLine="720"/>
        <w:jc w:val="both"/>
        <w:rPr>
          <w:b/>
        </w:rPr>
      </w:pPr>
    </w:p>
    <w:p w14:paraId="0330AFA8" w14:textId="77777777" w:rsidR="003400DE" w:rsidRPr="000C6DE0" w:rsidRDefault="00A60F60" w:rsidP="00E70F92">
      <w:pPr>
        <w:pStyle w:val="Pagrindinistekstas"/>
        <w:spacing w:after="0"/>
        <w:ind w:firstLine="720"/>
        <w:jc w:val="both"/>
        <w:rPr>
          <w:b/>
        </w:rPr>
      </w:pPr>
      <w:r w:rsidRPr="000C6DE0">
        <w:rPr>
          <w:b/>
        </w:rPr>
        <w:t>9</w:t>
      </w:r>
      <w:r w:rsidR="003400DE" w:rsidRPr="000C6DE0">
        <w:rPr>
          <w:b/>
        </w:rPr>
        <w:t xml:space="preserve">. </w:t>
      </w:r>
      <w:r w:rsidR="00B43AEA" w:rsidRPr="000C6DE0">
        <w:rPr>
          <w:b/>
        </w:rPr>
        <w:t xml:space="preserve">Įstatymų </w:t>
      </w:r>
      <w:r w:rsidR="003400DE" w:rsidRPr="000C6DE0">
        <w:rPr>
          <w:b/>
        </w:rPr>
        <w:t xml:space="preserve">inkorporavimas į teisinę sistemą, </w:t>
      </w:r>
      <w:r w:rsidR="00322D89" w:rsidRPr="000C6DE0">
        <w:rPr>
          <w:b/>
        </w:rPr>
        <w:t xml:space="preserve">kokius teisės aktus būtina priimti ir kokius </w:t>
      </w:r>
      <w:r w:rsidR="003400DE" w:rsidRPr="000C6DE0">
        <w:rPr>
          <w:b/>
        </w:rPr>
        <w:t>galiojan</w:t>
      </w:r>
      <w:r w:rsidR="00322D89" w:rsidRPr="000C6DE0">
        <w:rPr>
          <w:b/>
        </w:rPr>
        <w:t>čius</w:t>
      </w:r>
      <w:r w:rsidR="003400DE" w:rsidRPr="000C6DE0">
        <w:rPr>
          <w:b/>
        </w:rPr>
        <w:t xml:space="preserve"> teisės akt</w:t>
      </w:r>
      <w:r w:rsidR="00322D89" w:rsidRPr="000C6DE0">
        <w:rPr>
          <w:b/>
        </w:rPr>
        <w:t>us reikia</w:t>
      </w:r>
      <w:r w:rsidR="003400DE" w:rsidRPr="000C6DE0">
        <w:rPr>
          <w:b/>
        </w:rPr>
        <w:t xml:space="preserve"> pakeisti ar </w:t>
      </w:r>
      <w:r w:rsidR="00322D89" w:rsidRPr="000C6DE0">
        <w:rPr>
          <w:b/>
        </w:rPr>
        <w:t>pripažinti netekusiais galios</w:t>
      </w:r>
    </w:p>
    <w:p w14:paraId="7DCF82A4" w14:textId="0714BAAD" w:rsidR="00E126DE" w:rsidRDefault="00A60F60" w:rsidP="00E70F92">
      <w:pPr>
        <w:pStyle w:val="Pagrindinistekstas"/>
        <w:spacing w:after="0"/>
        <w:ind w:firstLine="720"/>
        <w:jc w:val="both"/>
      </w:pPr>
      <w:r w:rsidRPr="000C6DE0">
        <w:t xml:space="preserve">Priėmus </w:t>
      </w:r>
      <w:r w:rsidR="00D27E24" w:rsidRPr="000C6DE0">
        <w:t>Į</w:t>
      </w:r>
      <w:r w:rsidRPr="000C6DE0">
        <w:t>statymų projektus, kitų teisės aktų pakeisti ar pripažinti netekusiais galios nereikės</w:t>
      </w:r>
      <w:r w:rsidR="00D27E24" w:rsidRPr="000C6DE0">
        <w:t>.</w:t>
      </w:r>
    </w:p>
    <w:p w14:paraId="12322AEB" w14:textId="77777777" w:rsidR="002A6AC1" w:rsidRDefault="002A6AC1" w:rsidP="00E70F92">
      <w:pPr>
        <w:pStyle w:val="Pagrindinistekstas"/>
        <w:spacing w:after="0"/>
        <w:ind w:firstLine="720"/>
        <w:jc w:val="both"/>
      </w:pPr>
      <w:r>
        <w:t>Kartu su Įstatymų projektais teikiami:</w:t>
      </w:r>
    </w:p>
    <w:p w14:paraId="29A52847" w14:textId="5FC10315" w:rsidR="002A6AC1" w:rsidRDefault="002A6AC1" w:rsidP="002A6AC1">
      <w:pPr>
        <w:ind w:firstLine="720"/>
        <w:jc w:val="both"/>
      </w:pPr>
      <w:r>
        <w:t xml:space="preserve">1) </w:t>
      </w:r>
      <w:r w:rsidR="005234FF" w:rsidRPr="00884024">
        <w:t>Lietuvos Respublikos pelno mokesčio įstatymo Nr. IX-675 5, 17, 18, 30, 33, 34, 35, 38</w:t>
      </w:r>
      <w:r w:rsidR="005234FF" w:rsidRPr="00884024">
        <w:rPr>
          <w:vertAlign w:val="superscript"/>
        </w:rPr>
        <w:t>2</w:t>
      </w:r>
      <w:r w:rsidR="005234FF" w:rsidRPr="00884024">
        <w:t>, 41, 43 ir 56</w:t>
      </w:r>
      <w:r w:rsidR="005234FF" w:rsidRPr="00884024">
        <w:rPr>
          <w:vertAlign w:val="superscript"/>
        </w:rPr>
        <w:t>1</w:t>
      </w:r>
      <w:r w:rsidR="005234FF" w:rsidRPr="00884024">
        <w:t xml:space="preserve"> straipsnių pakeitimo ir </w:t>
      </w:r>
      <w:r w:rsidR="005234FF">
        <w:t>Į</w:t>
      </w:r>
      <w:r w:rsidR="005234FF" w:rsidRPr="00884024">
        <w:t xml:space="preserve">statymo </w:t>
      </w:r>
      <w:r w:rsidRPr="00884024">
        <w:t>papildymo 30</w:t>
      </w:r>
      <w:r w:rsidRPr="00884024">
        <w:rPr>
          <w:vertAlign w:val="superscript"/>
        </w:rPr>
        <w:t>3</w:t>
      </w:r>
      <w:r w:rsidRPr="00884024">
        <w:t> straipsniu įstatymo</w:t>
      </w:r>
      <w:r>
        <w:t xml:space="preserve"> projektas;</w:t>
      </w:r>
    </w:p>
    <w:p w14:paraId="4006FA65" w14:textId="5F16C325" w:rsidR="002A6AC1" w:rsidRDefault="002A6AC1" w:rsidP="002A6AC1">
      <w:pPr>
        <w:ind w:firstLine="720"/>
        <w:jc w:val="both"/>
      </w:pPr>
      <w:r>
        <w:t xml:space="preserve">2) </w:t>
      </w:r>
      <w:r w:rsidRPr="00884024">
        <w:t>Lietuvos Respublikos gyventojų pajamų mokesčio įstatymo Nr. IX-1007 6, 13</w:t>
      </w:r>
      <w:r w:rsidRPr="00884024">
        <w:rPr>
          <w:vertAlign w:val="superscript"/>
        </w:rPr>
        <w:t>1</w:t>
      </w:r>
      <w:r w:rsidRPr="00884024">
        <w:t>, 16, 17, 18, 18</w:t>
      </w:r>
      <w:r w:rsidRPr="00884024">
        <w:rPr>
          <w:vertAlign w:val="superscript"/>
        </w:rPr>
        <w:t>2</w:t>
      </w:r>
      <w:r w:rsidRPr="00884024">
        <w:t>, 19, 20, 21, 25, 27, 34 ir 35 straipsnių pakeitimo įstatymo</w:t>
      </w:r>
      <w:r>
        <w:t xml:space="preserve"> projektas;</w:t>
      </w:r>
    </w:p>
    <w:p w14:paraId="6FF281F7" w14:textId="77777777" w:rsidR="0008323B" w:rsidRDefault="002A6AC1" w:rsidP="00211D5B">
      <w:pPr>
        <w:ind w:firstLine="720"/>
        <w:jc w:val="both"/>
      </w:pPr>
      <w:r>
        <w:t xml:space="preserve">3) </w:t>
      </w:r>
      <w:r w:rsidRPr="00884024">
        <w:t>Lietuvos Respublikos akcizų įstatymo Nr. IX-569 1, 2 ir 3 straipsnių pakeitimo ir II skyriaus papildymo devintuoju skirsniu įstatymo</w:t>
      </w:r>
      <w:r>
        <w:t xml:space="preserve"> projektas</w:t>
      </w:r>
      <w:r w:rsidR="0008323B">
        <w:t>;</w:t>
      </w:r>
    </w:p>
    <w:p w14:paraId="471A6C68" w14:textId="4570D073" w:rsidR="002A6AC1" w:rsidRPr="000C6DE0" w:rsidRDefault="0008323B" w:rsidP="00211D5B">
      <w:pPr>
        <w:ind w:firstLine="720"/>
        <w:jc w:val="both"/>
      </w:pPr>
      <w:r>
        <w:t xml:space="preserve">4) </w:t>
      </w:r>
      <w:r w:rsidRPr="00884024">
        <w:t>Lietuvos Respublikos nekilnojamojo turto mokesčio įstatymo Nr. X-233 pakeitimo įstatymo projekta</w:t>
      </w:r>
      <w:r>
        <w:t>s</w:t>
      </w:r>
      <w:r w:rsidR="002A6AC1">
        <w:t xml:space="preserve">. </w:t>
      </w:r>
    </w:p>
    <w:p w14:paraId="1CD3B9C8" w14:textId="77777777" w:rsidR="00B43AEA" w:rsidRPr="000C6DE0" w:rsidRDefault="00B43AEA" w:rsidP="00E70F92">
      <w:pPr>
        <w:pStyle w:val="Pagrindinistekstas"/>
        <w:spacing w:after="0"/>
        <w:ind w:firstLine="720"/>
        <w:jc w:val="both"/>
        <w:rPr>
          <w:b/>
        </w:rPr>
      </w:pPr>
    </w:p>
    <w:p w14:paraId="018ADCF1" w14:textId="260CF1B2" w:rsidR="003400DE" w:rsidRPr="000C6DE0" w:rsidRDefault="00A60F60" w:rsidP="00E70F92">
      <w:pPr>
        <w:pStyle w:val="Pagrindinistekstas"/>
        <w:spacing w:after="0"/>
        <w:ind w:firstLine="720"/>
        <w:jc w:val="both"/>
        <w:rPr>
          <w:b/>
        </w:rPr>
      </w:pPr>
      <w:r w:rsidRPr="000C6DE0">
        <w:rPr>
          <w:b/>
        </w:rPr>
        <w:t>10</w:t>
      </w:r>
      <w:r w:rsidR="003400DE" w:rsidRPr="000C6DE0">
        <w:rPr>
          <w:b/>
        </w:rPr>
        <w:t xml:space="preserve">. </w:t>
      </w:r>
      <w:r w:rsidR="00B43AEA" w:rsidRPr="000C6DE0">
        <w:rPr>
          <w:b/>
        </w:rPr>
        <w:t xml:space="preserve">Įstatymų projektų </w:t>
      </w:r>
      <w:r w:rsidR="003400DE" w:rsidRPr="000C6DE0">
        <w:rPr>
          <w:b/>
        </w:rPr>
        <w:t xml:space="preserve">atitiktis </w:t>
      </w:r>
      <w:r w:rsidR="001E5F9E" w:rsidRPr="000C6DE0">
        <w:rPr>
          <w:b/>
        </w:rPr>
        <w:t>Lietuvos Respublikos v</w:t>
      </w:r>
      <w:r w:rsidR="003400DE" w:rsidRPr="000C6DE0">
        <w:rPr>
          <w:b/>
        </w:rPr>
        <w:t xml:space="preserve">alstybinės kalbos, </w:t>
      </w:r>
      <w:r w:rsidR="001E5F9E" w:rsidRPr="000C6DE0">
        <w:rPr>
          <w:b/>
        </w:rPr>
        <w:t>Teisėkūros pagrindų</w:t>
      </w:r>
      <w:r w:rsidR="003400DE" w:rsidRPr="000C6DE0">
        <w:rPr>
          <w:b/>
        </w:rPr>
        <w:t xml:space="preserve"> įstatymų reikalavimams ir</w:t>
      </w:r>
      <w:r w:rsidR="001E5F9E" w:rsidRPr="000C6DE0">
        <w:rPr>
          <w:b/>
        </w:rPr>
        <w:t xml:space="preserve"> </w:t>
      </w:r>
      <w:r w:rsidR="00D27E24" w:rsidRPr="000C6DE0">
        <w:rPr>
          <w:b/>
        </w:rPr>
        <w:t>Į</w:t>
      </w:r>
      <w:r w:rsidR="001E5F9E" w:rsidRPr="000C6DE0">
        <w:rPr>
          <w:b/>
        </w:rPr>
        <w:t>statym</w:t>
      </w:r>
      <w:r w:rsidR="00D63786" w:rsidRPr="000C6DE0">
        <w:rPr>
          <w:b/>
        </w:rPr>
        <w:t>ų</w:t>
      </w:r>
      <w:r w:rsidR="001E5F9E" w:rsidRPr="000C6DE0">
        <w:rPr>
          <w:b/>
        </w:rPr>
        <w:t xml:space="preserve"> projekt</w:t>
      </w:r>
      <w:r w:rsidR="00D63786" w:rsidRPr="000C6DE0">
        <w:rPr>
          <w:b/>
        </w:rPr>
        <w:t>ų</w:t>
      </w:r>
      <w:r w:rsidR="003400DE" w:rsidRPr="000C6DE0">
        <w:rPr>
          <w:b/>
        </w:rPr>
        <w:t xml:space="preserve"> sąvokų ir</w:t>
      </w:r>
      <w:r w:rsidR="001E5F9E" w:rsidRPr="000C6DE0">
        <w:rPr>
          <w:b/>
        </w:rPr>
        <w:t xml:space="preserve"> jas įvardijančių</w:t>
      </w:r>
      <w:r w:rsidR="003400DE" w:rsidRPr="000C6DE0">
        <w:rPr>
          <w:b/>
        </w:rPr>
        <w:t xml:space="preserve"> terminų įvertinimas</w:t>
      </w:r>
      <w:r w:rsidR="001E5F9E" w:rsidRPr="000C6DE0">
        <w:rPr>
          <w:b/>
        </w:rPr>
        <w:t xml:space="preserve"> </w:t>
      </w:r>
      <w:r w:rsidR="002A521E" w:rsidRPr="000C6DE0">
        <w:rPr>
          <w:b/>
        </w:rPr>
        <w:t xml:space="preserve">Lietuvos Respublikos </w:t>
      </w:r>
      <w:r w:rsidR="002A521E">
        <w:rPr>
          <w:b/>
        </w:rPr>
        <w:t>t</w:t>
      </w:r>
      <w:r w:rsidR="001E5F9E" w:rsidRPr="000C6DE0">
        <w:rPr>
          <w:b/>
        </w:rPr>
        <w:t>erminų banko įstatymo ir jo įgyvendinamųjų teisės aktų nustatyta tvarka</w:t>
      </w:r>
    </w:p>
    <w:p w14:paraId="474AAE44" w14:textId="59A107E3" w:rsidR="00426C5C" w:rsidRPr="000C6DE0" w:rsidRDefault="00B43AEA" w:rsidP="00ED6350">
      <w:pPr>
        <w:ind w:firstLine="720"/>
        <w:jc w:val="both"/>
        <w:rPr>
          <w:lang w:eastAsia="lt-LT"/>
        </w:rPr>
      </w:pPr>
      <w:r w:rsidRPr="000C6DE0">
        <w:rPr>
          <w:lang w:eastAsia="lt-LT"/>
        </w:rPr>
        <w:t xml:space="preserve">Įstatymų projektai </w:t>
      </w:r>
      <w:r w:rsidR="00F52625" w:rsidRPr="000C6DE0">
        <w:rPr>
          <w:lang w:eastAsia="lt-LT"/>
        </w:rPr>
        <w:t xml:space="preserve">atitinka </w:t>
      </w:r>
      <w:r w:rsidR="002A521E">
        <w:rPr>
          <w:lang w:eastAsia="lt-LT"/>
        </w:rPr>
        <w:t>V</w:t>
      </w:r>
      <w:r w:rsidR="00F52625" w:rsidRPr="000C6DE0">
        <w:rPr>
          <w:lang w:eastAsia="lt-LT"/>
        </w:rPr>
        <w:t>alstybinės kalbos</w:t>
      </w:r>
      <w:r w:rsidR="002D562A" w:rsidRPr="000C6DE0">
        <w:rPr>
          <w:lang w:eastAsia="lt-LT"/>
        </w:rPr>
        <w:t>,</w:t>
      </w:r>
      <w:r w:rsidR="00F52625" w:rsidRPr="000C6DE0">
        <w:rPr>
          <w:lang w:eastAsia="lt-LT"/>
        </w:rPr>
        <w:t xml:space="preserve"> Teisėkūros pagrindų įstatymų reikalavimus.</w:t>
      </w:r>
      <w:r w:rsidR="0087735E" w:rsidRPr="0087735E">
        <w:rPr>
          <w:rFonts w:eastAsia="Calibri"/>
          <w:lang w:eastAsia="lt-LT"/>
        </w:rPr>
        <w:t xml:space="preserve"> </w:t>
      </w:r>
      <w:r w:rsidR="0087735E">
        <w:rPr>
          <w:rFonts w:eastAsia="Calibri"/>
          <w:lang w:eastAsia="lt-LT"/>
        </w:rPr>
        <w:t xml:space="preserve">Saugumo įnašo įstatymo projekto </w:t>
      </w:r>
      <w:r w:rsidR="0087735E" w:rsidRPr="00690B1D">
        <w:rPr>
          <w:rFonts w:eastAsia="Calibri"/>
          <w:lang w:eastAsia="lt-LT"/>
        </w:rPr>
        <w:t>sąvok</w:t>
      </w:r>
      <w:r w:rsidR="0087735E">
        <w:rPr>
          <w:rFonts w:eastAsia="Calibri"/>
          <w:lang w:eastAsia="lt-LT"/>
        </w:rPr>
        <w:t xml:space="preserve">a </w:t>
      </w:r>
      <w:r w:rsidR="00B304CD">
        <w:rPr>
          <w:rFonts w:eastAsia="Calibri"/>
          <w:lang w:eastAsia="lt-LT"/>
        </w:rPr>
        <w:t>suderinta</w:t>
      </w:r>
      <w:r w:rsidR="00826479">
        <w:rPr>
          <w:rFonts w:eastAsia="Calibri"/>
          <w:lang w:eastAsia="lt-LT"/>
        </w:rPr>
        <w:t xml:space="preserve"> </w:t>
      </w:r>
      <w:r w:rsidR="0087735E">
        <w:rPr>
          <w:rFonts w:eastAsia="Calibri"/>
          <w:lang w:eastAsia="lt-LT"/>
        </w:rPr>
        <w:t>su Valstybine lietuvių kalbos komisija</w:t>
      </w:r>
      <w:r w:rsidR="00F52625" w:rsidRPr="000C6DE0">
        <w:t>.</w:t>
      </w:r>
      <w:r w:rsidR="00F52625" w:rsidRPr="000C6DE0">
        <w:rPr>
          <w:lang w:eastAsia="lt-LT"/>
        </w:rPr>
        <w:t xml:space="preserve"> </w:t>
      </w:r>
    </w:p>
    <w:p w14:paraId="170C40B2" w14:textId="77777777" w:rsidR="00540DF4" w:rsidRPr="000C6DE0" w:rsidRDefault="00540DF4" w:rsidP="00E70F92">
      <w:pPr>
        <w:ind w:firstLine="709"/>
        <w:jc w:val="both"/>
        <w:rPr>
          <w:lang w:eastAsia="lt-LT"/>
        </w:rPr>
      </w:pPr>
    </w:p>
    <w:p w14:paraId="4C1AB15F" w14:textId="77777777" w:rsidR="003400DE" w:rsidRPr="000C6DE0" w:rsidRDefault="003400DE" w:rsidP="00E70F92">
      <w:pPr>
        <w:pStyle w:val="Pagrindinistekstas"/>
        <w:spacing w:after="0"/>
        <w:ind w:firstLine="720"/>
        <w:jc w:val="both"/>
        <w:rPr>
          <w:b/>
        </w:rPr>
      </w:pPr>
      <w:r w:rsidRPr="000C6DE0">
        <w:rPr>
          <w:b/>
        </w:rPr>
        <w:t>1</w:t>
      </w:r>
      <w:r w:rsidR="00A60F60" w:rsidRPr="000C6DE0">
        <w:rPr>
          <w:b/>
        </w:rPr>
        <w:t>1</w:t>
      </w:r>
      <w:r w:rsidRPr="000C6DE0">
        <w:rPr>
          <w:b/>
        </w:rPr>
        <w:t xml:space="preserve">. </w:t>
      </w:r>
      <w:r w:rsidR="00B43AEA" w:rsidRPr="000C6DE0">
        <w:rPr>
          <w:b/>
        </w:rPr>
        <w:t xml:space="preserve">Įstatymų projektų </w:t>
      </w:r>
      <w:r w:rsidRPr="000C6DE0">
        <w:rPr>
          <w:b/>
        </w:rPr>
        <w:t>atitiktis Žmogaus teisių ir pagrindinių laisvių apsaugos konvencijos nuostatoms ir Europos Sąjungos teisei</w:t>
      </w:r>
    </w:p>
    <w:p w14:paraId="37137902" w14:textId="77777777" w:rsidR="003400DE" w:rsidRPr="000C6DE0" w:rsidRDefault="00B43AEA" w:rsidP="00E70F92">
      <w:pPr>
        <w:pStyle w:val="Pagrindinistekstas"/>
        <w:spacing w:after="0"/>
        <w:ind w:firstLine="720"/>
        <w:jc w:val="both"/>
      </w:pPr>
      <w:r w:rsidRPr="000C6DE0">
        <w:t xml:space="preserve">Įstatymų projektai </w:t>
      </w:r>
      <w:r w:rsidR="003400DE" w:rsidRPr="000C6DE0">
        <w:t>atitinka Žmogaus teisių ir pagrindinių laisvių apsaugos konvencijos nuostatas ir Europos Sąjungos teisės normas.</w:t>
      </w:r>
    </w:p>
    <w:p w14:paraId="0115FFFF" w14:textId="77777777" w:rsidR="002C00B8" w:rsidRPr="000C6DE0" w:rsidRDefault="002C00B8" w:rsidP="00E70F92">
      <w:pPr>
        <w:pStyle w:val="Pagrindinistekstas"/>
        <w:spacing w:after="0"/>
        <w:ind w:firstLine="720"/>
        <w:jc w:val="both"/>
      </w:pPr>
    </w:p>
    <w:p w14:paraId="440A8AF1" w14:textId="77777777" w:rsidR="003400DE" w:rsidRPr="000C6DE0" w:rsidRDefault="003400DE" w:rsidP="00E70F92">
      <w:pPr>
        <w:pStyle w:val="Pagrindinistekstas"/>
        <w:spacing w:after="0"/>
        <w:ind w:firstLine="720"/>
        <w:jc w:val="both"/>
        <w:rPr>
          <w:b/>
        </w:rPr>
      </w:pPr>
      <w:r w:rsidRPr="000C6DE0">
        <w:rPr>
          <w:b/>
        </w:rPr>
        <w:t>1</w:t>
      </w:r>
      <w:r w:rsidR="00A60F60" w:rsidRPr="000C6DE0">
        <w:rPr>
          <w:b/>
        </w:rPr>
        <w:t>2</w:t>
      </w:r>
      <w:r w:rsidRPr="000C6DE0">
        <w:rPr>
          <w:b/>
        </w:rPr>
        <w:t xml:space="preserve">. </w:t>
      </w:r>
      <w:r w:rsidR="00B43AEA" w:rsidRPr="000C6DE0">
        <w:rPr>
          <w:b/>
        </w:rPr>
        <w:t xml:space="preserve">Įstatymams </w:t>
      </w:r>
      <w:r w:rsidRPr="000C6DE0">
        <w:rPr>
          <w:b/>
        </w:rPr>
        <w:t>įgyvendinti reikalingi</w:t>
      </w:r>
      <w:r w:rsidR="009076D8" w:rsidRPr="000C6DE0">
        <w:rPr>
          <w:b/>
        </w:rPr>
        <w:t xml:space="preserve"> </w:t>
      </w:r>
      <w:r w:rsidR="00322D89" w:rsidRPr="000C6DE0">
        <w:rPr>
          <w:b/>
        </w:rPr>
        <w:t>įgyve</w:t>
      </w:r>
      <w:r w:rsidR="002C00B8" w:rsidRPr="000C6DE0">
        <w:rPr>
          <w:b/>
        </w:rPr>
        <w:t>n</w:t>
      </w:r>
      <w:r w:rsidR="00322D89" w:rsidRPr="000C6DE0">
        <w:rPr>
          <w:b/>
        </w:rPr>
        <w:t>dinamieji teisės</w:t>
      </w:r>
      <w:r w:rsidRPr="000C6DE0">
        <w:rPr>
          <w:b/>
        </w:rPr>
        <w:t xml:space="preserve"> aktai, šių aktų rengėjai</w:t>
      </w:r>
      <w:r w:rsidR="00322D89" w:rsidRPr="000C6DE0">
        <w:rPr>
          <w:b/>
        </w:rPr>
        <w:t xml:space="preserve"> ir terminai</w:t>
      </w:r>
    </w:p>
    <w:p w14:paraId="0DBCB7E4" w14:textId="15662888" w:rsidR="000251B7" w:rsidRPr="000C6DE0" w:rsidRDefault="00EF1AE5" w:rsidP="000251B7">
      <w:pPr>
        <w:ind w:firstLine="720"/>
        <w:jc w:val="both"/>
        <w:rPr>
          <w:b/>
        </w:rPr>
      </w:pPr>
      <w:r w:rsidRPr="00F308A6">
        <w:t xml:space="preserve">Priėmus </w:t>
      </w:r>
      <w:r>
        <w:t>Saugumo įnašo įstatymo projektą</w:t>
      </w:r>
      <w:r w:rsidRPr="00F308A6">
        <w:t>, Valstybinė</w:t>
      </w:r>
      <w:r>
        <w:t>s</w:t>
      </w:r>
      <w:r w:rsidRPr="00F308A6">
        <w:t xml:space="preserve"> mokesčių inspekcij</w:t>
      </w:r>
      <w:r>
        <w:t>os</w:t>
      </w:r>
      <w:r w:rsidRPr="00F308A6">
        <w:t xml:space="preserve"> prie Lietuvos Respublikos finansų ministerijos</w:t>
      </w:r>
      <w:r>
        <w:t xml:space="preserve"> viršininkas</w:t>
      </w:r>
      <w:r w:rsidRPr="00F308A6">
        <w:rPr>
          <w:lang w:eastAsia="lt-LT"/>
        </w:rPr>
        <w:t xml:space="preserve"> iki 202</w:t>
      </w:r>
      <w:r>
        <w:rPr>
          <w:lang w:eastAsia="lt-LT"/>
        </w:rPr>
        <w:t>5</w:t>
      </w:r>
      <w:r w:rsidRPr="00F308A6">
        <w:rPr>
          <w:lang w:eastAsia="lt-LT"/>
        </w:rPr>
        <w:t xml:space="preserve"> m. </w:t>
      </w:r>
      <w:r w:rsidR="00423851">
        <w:rPr>
          <w:lang w:eastAsia="lt-LT"/>
        </w:rPr>
        <w:t>gruodžio 31</w:t>
      </w:r>
      <w:r w:rsidRPr="00F308A6">
        <w:rPr>
          <w:lang w:eastAsia="lt-LT"/>
        </w:rPr>
        <w:t xml:space="preserve"> d. turės nustatyti </w:t>
      </w:r>
      <w:r>
        <w:rPr>
          <w:lang w:eastAsia="lt-LT"/>
        </w:rPr>
        <w:t xml:space="preserve">saugumo įnašo </w:t>
      </w:r>
      <w:r w:rsidRPr="00F308A6">
        <w:t>deklaracijos formą, jos pildymo</w:t>
      </w:r>
      <w:r>
        <w:t>, tikslinimo</w:t>
      </w:r>
      <w:r w:rsidRPr="00F308A6">
        <w:t xml:space="preserve"> </w:t>
      </w:r>
      <w:r w:rsidRPr="00F308A6">
        <w:rPr>
          <w:lang w:eastAsia="lt-LT"/>
        </w:rPr>
        <w:t xml:space="preserve">ir pateikimo </w:t>
      </w:r>
      <w:r w:rsidRPr="00F308A6">
        <w:t>tvarką</w:t>
      </w:r>
      <w:r w:rsidR="00F61330" w:rsidRPr="00F308A6">
        <w:rPr>
          <w:lang w:eastAsia="lt-LT"/>
        </w:rPr>
        <w:t>.</w:t>
      </w:r>
    </w:p>
    <w:p w14:paraId="7A0ADC92" w14:textId="77777777" w:rsidR="000251B7" w:rsidRPr="000C6DE0" w:rsidRDefault="000251B7" w:rsidP="00C454A3">
      <w:pPr>
        <w:pStyle w:val="Pagrindinistekstas"/>
        <w:spacing w:after="0"/>
        <w:ind w:firstLine="720"/>
        <w:jc w:val="both"/>
      </w:pPr>
    </w:p>
    <w:p w14:paraId="76B6F983" w14:textId="77777777" w:rsidR="003400DE" w:rsidRPr="000C6DE0" w:rsidRDefault="003400DE" w:rsidP="00E70F92">
      <w:pPr>
        <w:pStyle w:val="Pagrindinistekstas"/>
        <w:spacing w:after="0"/>
        <w:ind w:firstLine="720"/>
        <w:jc w:val="both"/>
        <w:rPr>
          <w:b/>
        </w:rPr>
      </w:pPr>
      <w:r w:rsidRPr="000C6DE0">
        <w:rPr>
          <w:b/>
        </w:rPr>
        <w:t>1</w:t>
      </w:r>
      <w:r w:rsidR="00A60F60" w:rsidRPr="000C6DE0">
        <w:rPr>
          <w:b/>
        </w:rPr>
        <w:t>3</w:t>
      </w:r>
      <w:r w:rsidRPr="000C6DE0">
        <w:rPr>
          <w:b/>
        </w:rPr>
        <w:t xml:space="preserve">. Kiek </w:t>
      </w:r>
      <w:r w:rsidR="00322D89" w:rsidRPr="000C6DE0">
        <w:rPr>
          <w:b/>
        </w:rPr>
        <w:t xml:space="preserve">valstybės, savivaldybių </w:t>
      </w:r>
      <w:r w:rsidRPr="000C6DE0">
        <w:rPr>
          <w:b/>
        </w:rPr>
        <w:t>biudžet</w:t>
      </w:r>
      <w:r w:rsidR="00322D89" w:rsidRPr="000C6DE0">
        <w:rPr>
          <w:b/>
        </w:rPr>
        <w:t>ų</w:t>
      </w:r>
      <w:r w:rsidRPr="000C6DE0">
        <w:rPr>
          <w:b/>
        </w:rPr>
        <w:t xml:space="preserve"> </w:t>
      </w:r>
      <w:r w:rsidR="00322D89" w:rsidRPr="000C6DE0">
        <w:rPr>
          <w:b/>
        </w:rPr>
        <w:t xml:space="preserve">ir kitų valstybės įsteigtų fondų </w:t>
      </w:r>
      <w:r w:rsidRPr="000C6DE0">
        <w:rPr>
          <w:b/>
        </w:rPr>
        <w:t xml:space="preserve">lėšų </w:t>
      </w:r>
      <w:r w:rsidR="00322D89" w:rsidRPr="000C6DE0">
        <w:rPr>
          <w:b/>
        </w:rPr>
        <w:t xml:space="preserve">prireiks </w:t>
      </w:r>
      <w:r w:rsidR="00DC4C52" w:rsidRPr="000C6DE0">
        <w:rPr>
          <w:b/>
        </w:rPr>
        <w:t xml:space="preserve">įstatymams </w:t>
      </w:r>
      <w:r w:rsidR="00322D89" w:rsidRPr="000C6DE0">
        <w:rPr>
          <w:b/>
        </w:rPr>
        <w:t>įgyvendinti</w:t>
      </w:r>
      <w:r w:rsidR="00DA1860" w:rsidRPr="000C6DE0">
        <w:rPr>
          <w:b/>
        </w:rPr>
        <w:t>,</w:t>
      </w:r>
      <w:r w:rsidRPr="000C6DE0">
        <w:rPr>
          <w:b/>
        </w:rPr>
        <w:t xml:space="preserve"> ar </w:t>
      </w:r>
      <w:r w:rsidR="00322D89" w:rsidRPr="000C6DE0">
        <w:rPr>
          <w:b/>
        </w:rPr>
        <w:t>bus galima</w:t>
      </w:r>
      <w:r w:rsidRPr="000C6DE0">
        <w:rPr>
          <w:b/>
        </w:rPr>
        <w:t xml:space="preserve"> sutaupyti</w:t>
      </w:r>
    </w:p>
    <w:p w14:paraId="4AB35EB6" w14:textId="4F5D8B7A" w:rsidR="002A6AC1" w:rsidRPr="000C6DE0" w:rsidRDefault="002A6AC1" w:rsidP="002A6AC1">
      <w:pPr>
        <w:tabs>
          <w:tab w:val="left" w:pos="0"/>
          <w:tab w:val="left" w:pos="540"/>
        </w:tabs>
        <w:ind w:firstLine="709"/>
        <w:jc w:val="both"/>
      </w:pPr>
      <w:r w:rsidRPr="002A6AC1">
        <w:t>Priėmus Įstatymų projektus ir padidinus atitinkamų mokesčių tarifus, 2026–2027 metais papildomos pajamos, skiriamos gynybai finansuoti, galėtų sudaryti:</w:t>
      </w:r>
    </w:p>
    <w:p w14:paraId="5E454CC6" w14:textId="77777777" w:rsidR="002A6AC1" w:rsidRPr="005066A3" w:rsidRDefault="002A6AC1" w:rsidP="002A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rPr>
      </w:pPr>
    </w:p>
    <w:tbl>
      <w:tblPr>
        <w:tblW w:w="5000" w:type="pct"/>
        <w:tblLook w:val="04A0" w:firstRow="1" w:lastRow="0" w:firstColumn="1" w:lastColumn="0" w:noHBand="0" w:noVBand="1"/>
      </w:tblPr>
      <w:tblGrid>
        <w:gridCol w:w="2974"/>
        <w:gridCol w:w="2545"/>
        <w:gridCol w:w="1559"/>
        <w:gridCol w:w="1371"/>
        <w:gridCol w:w="1454"/>
      </w:tblGrid>
      <w:tr w:rsidR="002A6AC1" w:rsidRPr="000C6DE0" w14:paraId="00BD6D50" w14:textId="77777777" w:rsidTr="002431EA">
        <w:trPr>
          <w:trHeight w:val="315"/>
        </w:trPr>
        <w:tc>
          <w:tcPr>
            <w:tcW w:w="1502" w:type="pct"/>
            <w:tcBorders>
              <w:top w:val="single" w:sz="8" w:space="0" w:color="auto"/>
              <w:left w:val="single" w:sz="8" w:space="0" w:color="auto"/>
              <w:bottom w:val="nil"/>
              <w:right w:val="nil"/>
            </w:tcBorders>
            <w:noWrap/>
            <w:vAlign w:val="bottom"/>
            <w:hideMark/>
          </w:tcPr>
          <w:p w14:paraId="239F2DE9" w14:textId="77777777" w:rsidR="002A6AC1" w:rsidRPr="000C6DE0" w:rsidRDefault="002A6AC1" w:rsidP="002431EA">
            <w:pPr>
              <w:jc w:val="center"/>
              <w:rPr>
                <w:b/>
                <w:bCs/>
                <w:lang w:eastAsia="lt-LT"/>
              </w:rPr>
            </w:pPr>
            <w:r w:rsidRPr="000C6DE0">
              <w:rPr>
                <w:b/>
                <w:bCs/>
              </w:rPr>
              <w:t>Mokesčių pakeitimai</w:t>
            </w:r>
          </w:p>
        </w:tc>
        <w:tc>
          <w:tcPr>
            <w:tcW w:w="1285" w:type="pct"/>
            <w:tcBorders>
              <w:top w:val="single" w:sz="8" w:space="0" w:color="auto"/>
              <w:left w:val="nil"/>
              <w:bottom w:val="nil"/>
              <w:right w:val="nil"/>
            </w:tcBorders>
            <w:noWrap/>
            <w:vAlign w:val="bottom"/>
          </w:tcPr>
          <w:p w14:paraId="2CB0FF4A" w14:textId="77777777" w:rsidR="002A6AC1" w:rsidRPr="000C6DE0" w:rsidRDefault="002A6AC1" w:rsidP="002431EA">
            <w:pPr>
              <w:rPr>
                <w:b/>
                <w:bCs/>
              </w:rPr>
            </w:pPr>
          </w:p>
        </w:tc>
        <w:tc>
          <w:tcPr>
            <w:tcW w:w="1479" w:type="pct"/>
            <w:gridSpan w:val="2"/>
            <w:tcBorders>
              <w:top w:val="single" w:sz="8" w:space="0" w:color="auto"/>
              <w:left w:val="single" w:sz="8" w:space="0" w:color="auto"/>
              <w:bottom w:val="single" w:sz="4" w:space="0" w:color="auto"/>
              <w:right w:val="single" w:sz="4" w:space="0" w:color="auto"/>
            </w:tcBorders>
            <w:vAlign w:val="center"/>
            <w:hideMark/>
          </w:tcPr>
          <w:p w14:paraId="1D3E83D7" w14:textId="77777777" w:rsidR="002A6AC1" w:rsidRPr="000C6DE0" w:rsidRDefault="002A6AC1" w:rsidP="002431EA">
            <w:pPr>
              <w:jc w:val="center"/>
            </w:pPr>
            <w:r w:rsidRPr="000C6DE0">
              <w:t>mln. eurų</w:t>
            </w:r>
          </w:p>
        </w:tc>
        <w:tc>
          <w:tcPr>
            <w:tcW w:w="734" w:type="pct"/>
            <w:vMerge w:val="restart"/>
            <w:tcBorders>
              <w:top w:val="single" w:sz="8" w:space="0" w:color="auto"/>
              <w:left w:val="single" w:sz="4" w:space="0" w:color="auto"/>
              <w:bottom w:val="single" w:sz="8" w:space="0" w:color="000000"/>
              <w:right w:val="single" w:sz="8" w:space="0" w:color="auto"/>
            </w:tcBorders>
            <w:vAlign w:val="center"/>
            <w:hideMark/>
          </w:tcPr>
          <w:p w14:paraId="02548D4D" w14:textId="77777777" w:rsidR="002A6AC1" w:rsidRPr="000C6DE0" w:rsidRDefault="002A6AC1" w:rsidP="002431EA">
            <w:pPr>
              <w:jc w:val="center"/>
            </w:pPr>
            <w:r w:rsidRPr="000C6DE0">
              <w:t>Įsigalioja</w:t>
            </w:r>
          </w:p>
        </w:tc>
      </w:tr>
      <w:tr w:rsidR="002A6AC1" w:rsidRPr="000C6DE0" w14:paraId="48F6C198" w14:textId="77777777" w:rsidTr="002431EA">
        <w:trPr>
          <w:trHeight w:val="330"/>
        </w:trPr>
        <w:tc>
          <w:tcPr>
            <w:tcW w:w="1502" w:type="pct"/>
            <w:tcBorders>
              <w:top w:val="nil"/>
              <w:left w:val="single" w:sz="8" w:space="0" w:color="auto"/>
              <w:bottom w:val="nil"/>
              <w:right w:val="nil"/>
            </w:tcBorders>
            <w:noWrap/>
            <w:vAlign w:val="bottom"/>
            <w:hideMark/>
          </w:tcPr>
          <w:p w14:paraId="7E173B3A" w14:textId="77777777" w:rsidR="002A6AC1" w:rsidRPr="000C6DE0" w:rsidRDefault="002A6AC1" w:rsidP="002431EA"/>
        </w:tc>
        <w:tc>
          <w:tcPr>
            <w:tcW w:w="1285" w:type="pct"/>
            <w:noWrap/>
            <w:vAlign w:val="bottom"/>
          </w:tcPr>
          <w:p w14:paraId="5C481480" w14:textId="77777777" w:rsidR="002A6AC1" w:rsidRPr="000C6DE0" w:rsidRDefault="002A6AC1" w:rsidP="002431EA"/>
        </w:tc>
        <w:tc>
          <w:tcPr>
            <w:tcW w:w="787" w:type="pct"/>
            <w:tcBorders>
              <w:top w:val="nil"/>
              <w:left w:val="single" w:sz="8" w:space="0" w:color="auto"/>
              <w:bottom w:val="single" w:sz="8" w:space="0" w:color="auto"/>
              <w:right w:val="single" w:sz="4" w:space="0" w:color="auto"/>
            </w:tcBorders>
            <w:vAlign w:val="center"/>
            <w:hideMark/>
          </w:tcPr>
          <w:p w14:paraId="54476A02" w14:textId="7B80AE52" w:rsidR="002A6AC1" w:rsidRPr="000C6DE0" w:rsidRDefault="002A6AC1" w:rsidP="002431EA">
            <w:pPr>
              <w:jc w:val="center"/>
            </w:pPr>
            <w:r w:rsidRPr="000C6DE0">
              <w:t>202</w:t>
            </w:r>
            <w:r>
              <w:t>6 m.</w:t>
            </w:r>
          </w:p>
        </w:tc>
        <w:tc>
          <w:tcPr>
            <w:tcW w:w="692" w:type="pct"/>
            <w:tcBorders>
              <w:top w:val="nil"/>
              <w:left w:val="nil"/>
              <w:bottom w:val="single" w:sz="8" w:space="0" w:color="auto"/>
              <w:right w:val="single" w:sz="4" w:space="0" w:color="auto"/>
            </w:tcBorders>
            <w:vAlign w:val="center"/>
            <w:hideMark/>
          </w:tcPr>
          <w:p w14:paraId="52BAC410" w14:textId="6E6A49B1" w:rsidR="002A6AC1" w:rsidRPr="000C6DE0" w:rsidRDefault="002A6AC1" w:rsidP="002431EA">
            <w:pPr>
              <w:jc w:val="center"/>
            </w:pPr>
            <w:r w:rsidRPr="000C6DE0">
              <w:t>202</w:t>
            </w:r>
            <w:r>
              <w:t>7 m.</w:t>
            </w:r>
          </w:p>
        </w:tc>
        <w:tc>
          <w:tcPr>
            <w:tcW w:w="734" w:type="pct"/>
            <w:vMerge/>
            <w:tcBorders>
              <w:top w:val="single" w:sz="8" w:space="0" w:color="auto"/>
              <w:left w:val="single" w:sz="4" w:space="0" w:color="auto"/>
              <w:bottom w:val="single" w:sz="8" w:space="0" w:color="000000"/>
              <w:right w:val="single" w:sz="8" w:space="0" w:color="auto"/>
            </w:tcBorders>
            <w:vAlign w:val="center"/>
            <w:hideMark/>
          </w:tcPr>
          <w:p w14:paraId="620084E2" w14:textId="77777777" w:rsidR="002A6AC1" w:rsidRPr="000C6DE0" w:rsidRDefault="002A6AC1" w:rsidP="002431EA"/>
        </w:tc>
      </w:tr>
      <w:tr w:rsidR="002A6AC1" w:rsidRPr="000C6DE0" w14:paraId="5A3DA714" w14:textId="77777777" w:rsidTr="00023E93">
        <w:trPr>
          <w:trHeight w:val="315"/>
        </w:trPr>
        <w:tc>
          <w:tcPr>
            <w:tcW w:w="2787" w:type="pct"/>
            <w:gridSpan w:val="2"/>
            <w:tcBorders>
              <w:top w:val="single" w:sz="8" w:space="0" w:color="auto"/>
              <w:left w:val="single" w:sz="8" w:space="0" w:color="auto"/>
              <w:bottom w:val="single" w:sz="4" w:space="0" w:color="auto"/>
              <w:right w:val="single" w:sz="4" w:space="0" w:color="auto"/>
            </w:tcBorders>
            <w:vAlign w:val="center"/>
            <w:hideMark/>
          </w:tcPr>
          <w:p w14:paraId="3D6DC8D9" w14:textId="2232A162" w:rsidR="002A6AC1" w:rsidRPr="000C6DE0" w:rsidRDefault="007C698A" w:rsidP="002431EA">
            <w:pPr>
              <w:ind w:firstLineChars="200" w:firstLine="480"/>
            </w:pPr>
            <w:r w:rsidRPr="000C6DE0">
              <w:t>Pelno mokesčio tarifo pakeitimai</w:t>
            </w:r>
            <w:r w:rsidRPr="006500F4">
              <w:t xml:space="preserve"> (tarifo didinimas</w:t>
            </w:r>
            <w:r>
              <w:t xml:space="preserve"> 1 procentiniu punktu</w:t>
            </w:r>
            <w:r w:rsidRPr="006500F4">
              <w:t xml:space="preserve"> </w:t>
            </w:r>
            <w:r>
              <w:t>ir</w:t>
            </w:r>
            <w:r w:rsidRPr="006500F4">
              <w:t xml:space="preserve"> nuostolių ribojimai)</w:t>
            </w:r>
          </w:p>
        </w:tc>
        <w:tc>
          <w:tcPr>
            <w:tcW w:w="787" w:type="pct"/>
            <w:tcBorders>
              <w:top w:val="nil"/>
              <w:left w:val="single" w:sz="8" w:space="0" w:color="auto"/>
              <w:bottom w:val="single" w:sz="4" w:space="0" w:color="auto"/>
              <w:right w:val="single" w:sz="4" w:space="0" w:color="auto"/>
            </w:tcBorders>
            <w:vAlign w:val="center"/>
          </w:tcPr>
          <w:p w14:paraId="37BF0480" w14:textId="77777777" w:rsidR="002A6AC1" w:rsidRPr="000C6DE0" w:rsidRDefault="002A6AC1" w:rsidP="002431EA">
            <w:pPr>
              <w:jc w:val="center"/>
            </w:pPr>
            <w:r>
              <w:t>47,3</w:t>
            </w:r>
          </w:p>
        </w:tc>
        <w:tc>
          <w:tcPr>
            <w:tcW w:w="692" w:type="pct"/>
            <w:tcBorders>
              <w:top w:val="nil"/>
              <w:left w:val="single" w:sz="4" w:space="0" w:color="auto"/>
              <w:bottom w:val="single" w:sz="4" w:space="0" w:color="auto"/>
              <w:right w:val="single" w:sz="4" w:space="0" w:color="auto"/>
            </w:tcBorders>
            <w:vAlign w:val="center"/>
          </w:tcPr>
          <w:p w14:paraId="361C69E8" w14:textId="77777777" w:rsidR="002A6AC1" w:rsidRPr="000C6DE0" w:rsidRDefault="002A6AC1" w:rsidP="002431EA">
            <w:pPr>
              <w:jc w:val="center"/>
            </w:pPr>
            <w:r>
              <w:t>134,5</w:t>
            </w:r>
          </w:p>
        </w:tc>
        <w:tc>
          <w:tcPr>
            <w:tcW w:w="734" w:type="pct"/>
            <w:tcBorders>
              <w:top w:val="nil"/>
              <w:left w:val="single" w:sz="4" w:space="0" w:color="auto"/>
              <w:bottom w:val="single" w:sz="4" w:space="0" w:color="auto"/>
              <w:right w:val="single" w:sz="8" w:space="0" w:color="auto"/>
            </w:tcBorders>
            <w:vAlign w:val="center"/>
            <w:hideMark/>
          </w:tcPr>
          <w:p w14:paraId="7B17C717" w14:textId="77777777" w:rsidR="002A6AC1" w:rsidRPr="000C6DE0" w:rsidRDefault="002A6AC1" w:rsidP="002431EA">
            <w:pPr>
              <w:jc w:val="center"/>
            </w:pPr>
            <w:r w:rsidRPr="000C6DE0">
              <w:t>20</w:t>
            </w:r>
            <w:r>
              <w:t>26</w:t>
            </w:r>
            <w:r w:rsidRPr="000C6DE0">
              <w:t>-01-01</w:t>
            </w:r>
          </w:p>
        </w:tc>
      </w:tr>
      <w:tr w:rsidR="00FD276F" w:rsidRPr="000C6DE0" w14:paraId="14B5E5D5" w14:textId="77777777" w:rsidTr="00023E93">
        <w:trPr>
          <w:trHeight w:val="131"/>
        </w:trPr>
        <w:tc>
          <w:tcPr>
            <w:tcW w:w="2787" w:type="pct"/>
            <w:gridSpan w:val="2"/>
            <w:tcBorders>
              <w:top w:val="single" w:sz="4" w:space="0" w:color="auto"/>
              <w:left w:val="single" w:sz="4" w:space="0" w:color="auto"/>
              <w:bottom w:val="single" w:sz="4" w:space="0" w:color="auto"/>
              <w:right w:val="single" w:sz="4" w:space="0" w:color="auto"/>
            </w:tcBorders>
            <w:vAlign w:val="center"/>
            <w:hideMark/>
          </w:tcPr>
          <w:p w14:paraId="0A3F8F7F" w14:textId="78A6A1D6" w:rsidR="00FD276F" w:rsidRPr="000C6DE0" w:rsidRDefault="00FD276F" w:rsidP="00FD276F">
            <w:pPr>
              <w:ind w:firstLineChars="200" w:firstLine="480"/>
            </w:pPr>
            <w:r w:rsidRPr="00E953B0">
              <w:rPr>
                <w:color w:val="000000"/>
                <w:lang w:eastAsia="lt-LT"/>
              </w:rPr>
              <w:lastRenderedPageBreak/>
              <w:t>2 procentai valstybės biudžeto ir savivaldybių biudžetų pajamų</w:t>
            </w:r>
            <w:r w:rsidRPr="00E953B0">
              <w:t xml:space="preserve">, </w:t>
            </w:r>
            <w:r w:rsidRPr="00E953B0">
              <w:rPr>
                <w:color w:val="000000"/>
                <w:lang w:eastAsia="lt-LT"/>
              </w:rPr>
              <w:t>gautų iš gyventojų pajamų mokesčio</w:t>
            </w:r>
          </w:p>
        </w:tc>
        <w:tc>
          <w:tcPr>
            <w:tcW w:w="787" w:type="pct"/>
            <w:tcBorders>
              <w:top w:val="single" w:sz="4" w:space="0" w:color="auto"/>
              <w:left w:val="single" w:sz="4" w:space="0" w:color="auto"/>
              <w:bottom w:val="single" w:sz="4" w:space="0" w:color="auto"/>
              <w:right w:val="single" w:sz="4" w:space="0" w:color="auto"/>
            </w:tcBorders>
            <w:vAlign w:val="center"/>
          </w:tcPr>
          <w:p w14:paraId="4370BDD3" w14:textId="5C1C01C7" w:rsidR="00FD276F" w:rsidRPr="000C6DE0" w:rsidRDefault="00D47D53" w:rsidP="00FD276F">
            <w:pPr>
              <w:jc w:val="center"/>
            </w:pPr>
            <w:r>
              <w:t xml:space="preserve"> 153,1</w:t>
            </w:r>
          </w:p>
        </w:tc>
        <w:tc>
          <w:tcPr>
            <w:tcW w:w="692" w:type="pct"/>
            <w:tcBorders>
              <w:top w:val="single" w:sz="4" w:space="0" w:color="auto"/>
              <w:left w:val="single" w:sz="4" w:space="0" w:color="auto"/>
              <w:bottom w:val="single" w:sz="4" w:space="0" w:color="auto"/>
              <w:right w:val="single" w:sz="4" w:space="0" w:color="auto"/>
            </w:tcBorders>
            <w:vAlign w:val="center"/>
          </w:tcPr>
          <w:p w14:paraId="572F1474" w14:textId="20611278" w:rsidR="00FD276F" w:rsidRPr="000C6DE0" w:rsidRDefault="00D47D53" w:rsidP="00FD276F">
            <w:pPr>
              <w:jc w:val="center"/>
            </w:pPr>
            <w:r>
              <w:t xml:space="preserve"> 169,8</w:t>
            </w:r>
          </w:p>
        </w:tc>
        <w:tc>
          <w:tcPr>
            <w:tcW w:w="734" w:type="pct"/>
            <w:tcBorders>
              <w:top w:val="single" w:sz="4" w:space="0" w:color="auto"/>
              <w:left w:val="single" w:sz="4" w:space="0" w:color="auto"/>
              <w:bottom w:val="single" w:sz="4" w:space="0" w:color="auto"/>
              <w:right w:val="single" w:sz="4" w:space="0" w:color="auto"/>
            </w:tcBorders>
            <w:vAlign w:val="center"/>
            <w:hideMark/>
          </w:tcPr>
          <w:p w14:paraId="443086F3" w14:textId="77777777" w:rsidR="00FD276F" w:rsidRPr="000C6DE0" w:rsidRDefault="00FD276F" w:rsidP="00FD276F">
            <w:pPr>
              <w:jc w:val="center"/>
            </w:pPr>
            <w:r w:rsidRPr="000C6DE0">
              <w:t>20</w:t>
            </w:r>
            <w:r>
              <w:t>26</w:t>
            </w:r>
            <w:r w:rsidRPr="000C6DE0">
              <w:t>-01-01</w:t>
            </w:r>
          </w:p>
        </w:tc>
      </w:tr>
      <w:tr w:rsidR="002A6AC1" w:rsidRPr="000C6DE0" w14:paraId="747C5D1F" w14:textId="77777777" w:rsidTr="00023E93">
        <w:trPr>
          <w:trHeight w:val="264"/>
        </w:trPr>
        <w:tc>
          <w:tcPr>
            <w:tcW w:w="2787" w:type="pct"/>
            <w:gridSpan w:val="2"/>
            <w:tcBorders>
              <w:top w:val="single" w:sz="4" w:space="0" w:color="auto"/>
              <w:left w:val="single" w:sz="8" w:space="0" w:color="auto"/>
              <w:bottom w:val="single" w:sz="4" w:space="0" w:color="auto"/>
              <w:right w:val="single" w:sz="4" w:space="0" w:color="auto"/>
            </w:tcBorders>
            <w:vAlign w:val="center"/>
            <w:hideMark/>
          </w:tcPr>
          <w:p w14:paraId="213ECFC8" w14:textId="304C8B2C" w:rsidR="002A6AC1" w:rsidRPr="000C6DE0" w:rsidRDefault="002A6AC1" w:rsidP="002431EA">
            <w:pPr>
              <w:ind w:firstLineChars="200" w:firstLine="480"/>
            </w:pPr>
            <w:r w:rsidRPr="006500F4">
              <w:t>Akcizų pakeitimai (nealkoholinių sald</w:t>
            </w:r>
            <w:r w:rsidR="00023E93">
              <w:t>intų</w:t>
            </w:r>
            <w:r w:rsidRPr="006500F4">
              <w:t xml:space="preserve"> gėrimų apmokestinimas), mln. eurų</w:t>
            </w:r>
          </w:p>
        </w:tc>
        <w:tc>
          <w:tcPr>
            <w:tcW w:w="787" w:type="pct"/>
            <w:tcBorders>
              <w:top w:val="single" w:sz="4" w:space="0" w:color="auto"/>
              <w:left w:val="single" w:sz="8" w:space="0" w:color="auto"/>
              <w:bottom w:val="single" w:sz="4" w:space="0" w:color="auto"/>
              <w:right w:val="single" w:sz="4" w:space="0" w:color="auto"/>
            </w:tcBorders>
            <w:vAlign w:val="center"/>
          </w:tcPr>
          <w:p w14:paraId="01B5F65D" w14:textId="77777777" w:rsidR="002A6AC1" w:rsidRPr="000C6DE0" w:rsidRDefault="002A6AC1" w:rsidP="002431EA">
            <w:pPr>
              <w:jc w:val="center"/>
            </w:pPr>
            <w:r>
              <w:t>22,9</w:t>
            </w:r>
          </w:p>
        </w:tc>
        <w:tc>
          <w:tcPr>
            <w:tcW w:w="692" w:type="pct"/>
            <w:tcBorders>
              <w:top w:val="single" w:sz="4" w:space="0" w:color="auto"/>
              <w:left w:val="single" w:sz="4" w:space="0" w:color="auto"/>
              <w:bottom w:val="single" w:sz="4" w:space="0" w:color="auto"/>
              <w:right w:val="single" w:sz="4" w:space="0" w:color="auto"/>
            </w:tcBorders>
            <w:vAlign w:val="center"/>
          </w:tcPr>
          <w:p w14:paraId="3CB904EF" w14:textId="77777777" w:rsidR="002A6AC1" w:rsidRPr="000C6DE0" w:rsidRDefault="002A6AC1" w:rsidP="002431EA">
            <w:pPr>
              <w:jc w:val="center"/>
            </w:pPr>
            <w:r>
              <w:t>25</w:t>
            </w:r>
          </w:p>
        </w:tc>
        <w:tc>
          <w:tcPr>
            <w:tcW w:w="734" w:type="pct"/>
            <w:tcBorders>
              <w:top w:val="single" w:sz="4" w:space="0" w:color="auto"/>
              <w:left w:val="single" w:sz="4" w:space="0" w:color="auto"/>
              <w:bottom w:val="single" w:sz="4" w:space="0" w:color="auto"/>
              <w:right w:val="single" w:sz="8" w:space="0" w:color="auto"/>
            </w:tcBorders>
            <w:vAlign w:val="center"/>
            <w:hideMark/>
          </w:tcPr>
          <w:p w14:paraId="20FF12AE" w14:textId="77777777" w:rsidR="002A6AC1" w:rsidRPr="000C6DE0" w:rsidRDefault="002A6AC1" w:rsidP="002431EA">
            <w:pPr>
              <w:jc w:val="center"/>
            </w:pPr>
            <w:r w:rsidRPr="000C6DE0">
              <w:t>20</w:t>
            </w:r>
            <w:r>
              <w:t>26</w:t>
            </w:r>
            <w:r w:rsidRPr="000C6DE0">
              <w:t>-01-01</w:t>
            </w:r>
          </w:p>
        </w:tc>
      </w:tr>
      <w:tr w:rsidR="0008323B" w:rsidRPr="000C6DE0" w14:paraId="4C42CCC7" w14:textId="77777777" w:rsidTr="0008323B">
        <w:trPr>
          <w:trHeight w:val="264"/>
        </w:trPr>
        <w:tc>
          <w:tcPr>
            <w:tcW w:w="2787" w:type="pct"/>
            <w:gridSpan w:val="2"/>
            <w:tcBorders>
              <w:top w:val="single" w:sz="4" w:space="0" w:color="auto"/>
              <w:left w:val="single" w:sz="4" w:space="0" w:color="auto"/>
              <w:bottom w:val="single" w:sz="4" w:space="0" w:color="auto"/>
              <w:right w:val="single" w:sz="4" w:space="0" w:color="auto"/>
            </w:tcBorders>
            <w:vAlign w:val="center"/>
          </w:tcPr>
          <w:p w14:paraId="34FA34F7" w14:textId="1A3EBE5C" w:rsidR="0008323B" w:rsidRPr="006500F4" w:rsidRDefault="0008323B" w:rsidP="0008323B">
            <w:pPr>
              <w:ind w:firstLineChars="200" w:firstLine="480"/>
            </w:pPr>
            <w:r w:rsidRPr="006500F4">
              <w:rPr>
                <w:color w:val="000000"/>
                <w:lang w:eastAsia="lt-LT"/>
              </w:rPr>
              <w:t xml:space="preserve">Valstybės biudžeto pajamos, gautos iš nekilnojamojo turto mokesčio (komerciniam </w:t>
            </w:r>
            <w:r>
              <w:rPr>
                <w:color w:val="000000"/>
                <w:lang w:eastAsia="lt-LT"/>
              </w:rPr>
              <w:t xml:space="preserve">nekilnojamajam turtui </w:t>
            </w:r>
            <w:r w:rsidRPr="006500F4">
              <w:rPr>
                <w:color w:val="000000"/>
                <w:lang w:eastAsia="lt-LT"/>
              </w:rPr>
              <w:t>taikomas 0,2</w:t>
            </w:r>
            <w:r>
              <w:rPr>
                <w:color w:val="000000"/>
                <w:lang w:eastAsia="lt-LT"/>
              </w:rPr>
              <w:t xml:space="preserve"> procento</w:t>
            </w:r>
            <w:r w:rsidRPr="006500F4">
              <w:rPr>
                <w:color w:val="000000"/>
                <w:lang w:eastAsia="lt-LT"/>
              </w:rPr>
              <w:t xml:space="preserve"> tarifas </w:t>
            </w:r>
            <w:r w:rsidR="007C698A">
              <w:rPr>
                <w:color w:val="000000"/>
                <w:lang w:eastAsia="lt-LT"/>
              </w:rPr>
              <w:t>+</w:t>
            </w:r>
            <w:r w:rsidRPr="006500F4">
              <w:rPr>
                <w:color w:val="000000"/>
                <w:lang w:eastAsia="lt-LT"/>
              </w:rPr>
              <w:t xml:space="preserve"> </w:t>
            </w:r>
            <w:r w:rsidR="00D47D53">
              <w:rPr>
                <w:color w:val="000000"/>
                <w:lang w:eastAsia="lt-LT"/>
              </w:rPr>
              <w:t xml:space="preserve">valstybės biudžeto pajamos </w:t>
            </w:r>
            <w:r w:rsidR="007C698A">
              <w:rPr>
                <w:color w:val="000000"/>
                <w:lang w:eastAsia="lt-LT"/>
              </w:rPr>
              <w:t>iš</w:t>
            </w:r>
            <w:r w:rsidRPr="006500F4">
              <w:rPr>
                <w:color w:val="000000"/>
                <w:lang w:eastAsia="lt-LT"/>
              </w:rPr>
              <w:t xml:space="preserve"> nekomercini</w:t>
            </w:r>
            <w:r>
              <w:rPr>
                <w:color w:val="000000"/>
                <w:lang w:eastAsia="lt-LT"/>
              </w:rPr>
              <w:t>am nekilnojamajam turtui</w:t>
            </w:r>
            <w:r w:rsidR="007C698A">
              <w:rPr>
                <w:color w:val="000000"/>
                <w:lang w:eastAsia="lt-LT"/>
              </w:rPr>
              <w:t xml:space="preserve"> taikomų tarifų</w:t>
            </w:r>
            <w:r w:rsidRPr="006500F4">
              <w:rPr>
                <w:color w:val="000000"/>
                <w:lang w:eastAsia="lt-LT"/>
              </w:rPr>
              <w:t>)</w:t>
            </w:r>
          </w:p>
        </w:tc>
        <w:tc>
          <w:tcPr>
            <w:tcW w:w="787" w:type="pct"/>
            <w:tcBorders>
              <w:top w:val="single" w:sz="4" w:space="0" w:color="auto"/>
              <w:left w:val="single" w:sz="4" w:space="0" w:color="auto"/>
              <w:bottom w:val="single" w:sz="4" w:space="0" w:color="auto"/>
              <w:right w:val="single" w:sz="4" w:space="0" w:color="auto"/>
            </w:tcBorders>
            <w:vAlign w:val="center"/>
          </w:tcPr>
          <w:p w14:paraId="7DCEBF2B" w14:textId="392E2AA6" w:rsidR="0008323B" w:rsidRDefault="00D47D53" w:rsidP="0008323B">
            <w:pPr>
              <w:jc w:val="center"/>
            </w:pPr>
            <w:r>
              <w:t xml:space="preserve"> 39,9</w:t>
            </w:r>
          </w:p>
        </w:tc>
        <w:tc>
          <w:tcPr>
            <w:tcW w:w="692" w:type="pct"/>
            <w:tcBorders>
              <w:top w:val="single" w:sz="4" w:space="0" w:color="auto"/>
              <w:left w:val="single" w:sz="4" w:space="0" w:color="auto"/>
              <w:bottom w:val="single" w:sz="4" w:space="0" w:color="auto"/>
              <w:right w:val="single" w:sz="4" w:space="0" w:color="auto"/>
            </w:tcBorders>
            <w:vAlign w:val="center"/>
          </w:tcPr>
          <w:p w14:paraId="7F88D3D9" w14:textId="14F157E4" w:rsidR="0008323B" w:rsidRDefault="00D47D53" w:rsidP="0008323B">
            <w:pPr>
              <w:jc w:val="center"/>
            </w:pPr>
            <w:r>
              <w:t xml:space="preserve"> 74,2</w:t>
            </w:r>
          </w:p>
        </w:tc>
        <w:tc>
          <w:tcPr>
            <w:tcW w:w="734" w:type="pct"/>
            <w:tcBorders>
              <w:top w:val="single" w:sz="4" w:space="0" w:color="auto"/>
              <w:left w:val="single" w:sz="4" w:space="0" w:color="auto"/>
              <w:bottom w:val="single" w:sz="4" w:space="0" w:color="auto"/>
              <w:right w:val="single" w:sz="4" w:space="0" w:color="auto"/>
            </w:tcBorders>
            <w:vAlign w:val="center"/>
          </w:tcPr>
          <w:p w14:paraId="3F341628" w14:textId="7A9C8923" w:rsidR="0008323B" w:rsidRPr="000C6DE0" w:rsidRDefault="0008323B" w:rsidP="0008323B">
            <w:pPr>
              <w:jc w:val="center"/>
            </w:pPr>
            <w:r w:rsidRPr="000C6DE0">
              <w:t>20</w:t>
            </w:r>
            <w:r>
              <w:t>26</w:t>
            </w:r>
            <w:r w:rsidRPr="000C6DE0">
              <w:t>-01-01</w:t>
            </w:r>
          </w:p>
        </w:tc>
      </w:tr>
      <w:tr w:rsidR="002A6AC1" w:rsidRPr="000C6DE0" w14:paraId="4B5539FD" w14:textId="77777777" w:rsidTr="002A6AC1">
        <w:trPr>
          <w:trHeight w:val="330"/>
        </w:trPr>
        <w:tc>
          <w:tcPr>
            <w:tcW w:w="2787" w:type="pct"/>
            <w:gridSpan w:val="2"/>
            <w:tcBorders>
              <w:top w:val="single" w:sz="4" w:space="0" w:color="auto"/>
              <w:left w:val="single" w:sz="4" w:space="0" w:color="auto"/>
              <w:bottom w:val="single" w:sz="4" w:space="0" w:color="auto"/>
              <w:right w:val="single" w:sz="4" w:space="0" w:color="auto"/>
            </w:tcBorders>
            <w:vAlign w:val="center"/>
            <w:hideMark/>
          </w:tcPr>
          <w:p w14:paraId="086A8314" w14:textId="77777777" w:rsidR="002A6AC1" w:rsidRPr="000C6DE0" w:rsidRDefault="002A6AC1" w:rsidP="002431EA">
            <w:pPr>
              <w:ind w:firstLineChars="200" w:firstLine="480"/>
            </w:pPr>
            <w:r>
              <w:t>Pajamos iš saugumo</w:t>
            </w:r>
            <w:r w:rsidRPr="000C6DE0">
              <w:t xml:space="preserve"> įnaš</w:t>
            </w:r>
            <w:r>
              <w:t>o</w:t>
            </w:r>
          </w:p>
        </w:tc>
        <w:tc>
          <w:tcPr>
            <w:tcW w:w="787" w:type="pct"/>
            <w:tcBorders>
              <w:top w:val="single" w:sz="4" w:space="0" w:color="auto"/>
              <w:left w:val="single" w:sz="4" w:space="0" w:color="auto"/>
              <w:bottom w:val="single" w:sz="4" w:space="0" w:color="auto"/>
              <w:right w:val="single" w:sz="4" w:space="0" w:color="auto"/>
            </w:tcBorders>
            <w:vAlign w:val="center"/>
            <w:hideMark/>
          </w:tcPr>
          <w:p w14:paraId="79333D26" w14:textId="7BFC7CA3" w:rsidR="002A6AC1" w:rsidRPr="000C6DE0" w:rsidRDefault="0008323B" w:rsidP="002431EA">
            <w:pPr>
              <w:jc w:val="center"/>
            </w:pPr>
            <w:r>
              <w:t>8</w:t>
            </w:r>
            <w:r w:rsidR="00023E93">
              <w:t>2</w:t>
            </w:r>
            <w:r>
              <w:t>,5</w:t>
            </w:r>
          </w:p>
        </w:tc>
        <w:tc>
          <w:tcPr>
            <w:tcW w:w="692" w:type="pct"/>
            <w:tcBorders>
              <w:top w:val="single" w:sz="4" w:space="0" w:color="auto"/>
              <w:left w:val="single" w:sz="4" w:space="0" w:color="auto"/>
              <w:bottom w:val="single" w:sz="4" w:space="0" w:color="auto"/>
              <w:right w:val="single" w:sz="4" w:space="0" w:color="auto"/>
            </w:tcBorders>
            <w:vAlign w:val="center"/>
          </w:tcPr>
          <w:p w14:paraId="3DBDE56C" w14:textId="12A475A7" w:rsidR="002A6AC1" w:rsidRPr="000C6DE0" w:rsidRDefault="00023E93" w:rsidP="002431EA">
            <w:pPr>
              <w:jc w:val="center"/>
            </w:pPr>
            <w:r>
              <w:t>110</w:t>
            </w:r>
          </w:p>
        </w:tc>
        <w:tc>
          <w:tcPr>
            <w:tcW w:w="734" w:type="pct"/>
            <w:tcBorders>
              <w:top w:val="single" w:sz="4" w:space="0" w:color="auto"/>
              <w:left w:val="single" w:sz="4" w:space="0" w:color="auto"/>
              <w:bottom w:val="single" w:sz="4" w:space="0" w:color="auto"/>
              <w:right w:val="single" w:sz="4" w:space="0" w:color="auto"/>
            </w:tcBorders>
            <w:vAlign w:val="center"/>
            <w:hideMark/>
          </w:tcPr>
          <w:p w14:paraId="39173B93" w14:textId="77777777" w:rsidR="002A6AC1" w:rsidRPr="000C6DE0" w:rsidRDefault="002A6AC1" w:rsidP="002431EA">
            <w:pPr>
              <w:jc w:val="center"/>
            </w:pPr>
            <w:r w:rsidRPr="000C6DE0">
              <w:t>20</w:t>
            </w:r>
            <w:r>
              <w:t>26</w:t>
            </w:r>
            <w:r w:rsidRPr="000C6DE0">
              <w:t>-01-01</w:t>
            </w:r>
          </w:p>
        </w:tc>
      </w:tr>
      <w:tr w:rsidR="00FD276F" w:rsidRPr="000C6DE0" w14:paraId="0BC52732" w14:textId="77777777" w:rsidTr="002A6AC1">
        <w:trPr>
          <w:trHeight w:val="330"/>
        </w:trPr>
        <w:tc>
          <w:tcPr>
            <w:tcW w:w="2787" w:type="pct"/>
            <w:gridSpan w:val="2"/>
            <w:tcBorders>
              <w:top w:val="single" w:sz="4" w:space="0" w:color="auto"/>
              <w:left w:val="single" w:sz="8" w:space="0" w:color="auto"/>
              <w:bottom w:val="single" w:sz="8" w:space="0" w:color="auto"/>
              <w:right w:val="nil"/>
            </w:tcBorders>
            <w:vAlign w:val="center"/>
            <w:hideMark/>
          </w:tcPr>
          <w:p w14:paraId="1F9E729B" w14:textId="77777777" w:rsidR="00FD276F" w:rsidRPr="000C6DE0" w:rsidRDefault="00FD276F" w:rsidP="00FD276F">
            <w:pPr>
              <w:jc w:val="right"/>
              <w:rPr>
                <w:b/>
                <w:bCs/>
              </w:rPr>
            </w:pPr>
            <w:r w:rsidRPr="000C6DE0">
              <w:rPr>
                <w:b/>
                <w:bCs/>
              </w:rPr>
              <w:t>IŠ VISO:</w:t>
            </w:r>
          </w:p>
        </w:tc>
        <w:tc>
          <w:tcPr>
            <w:tcW w:w="787" w:type="pct"/>
            <w:tcBorders>
              <w:top w:val="single" w:sz="4" w:space="0" w:color="auto"/>
              <w:left w:val="single" w:sz="8" w:space="0" w:color="auto"/>
              <w:bottom w:val="single" w:sz="8" w:space="0" w:color="auto"/>
              <w:right w:val="single" w:sz="4" w:space="0" w:color="auto"/>
            </w:tcBorders>
            <w:vAlign w:val="center"/>
          </w:tcPr>
          <w:p w14:paraId="1C9F7A07" w14:textId="7E4D872D" w:rsidR="00FD276F" w:rsidRPr="000C6DE0" w:rsidRDefault="00D47D53" w:rsidP="00FD276F">
            <w:pPr>
              <w:jc w:val="center"/>
              <w:rPr>
                <w:b/>
                <w:bCs/>
              </w:rPr>
            </w:pPr>
            <w:r>
              <w:rPr>
                <w:b/>
                <w:bCs/>
              </w:rPr>
              <w:t xml:space="preserve"> 345,7</w:t>
            </w:r>
          </w:p>
        </w:tc>
        <w:tc>
          <w:tcPr>
            <w:tcW w:w="692" w:type="pct"/>
            <w:tcBorders>
              <w:top w:val="single" w:sz="4" w:space="0" w:color="auto"/>
              <w:left w:val="nil"/>
              <w:bottom w:val="single" w:sz="8" w:space="0" w:color="auto"/>
              <w:right w:val="single" w:sz="4" w:space="0" w:color="auto"/>
            </w:tcBorders>
            <w:vAlign w:val="center"/>
          </w:tcPr>
          <w:p w14:paraId="2D193097" w14:textId="4AF53611" w:rsidR="00FD276F" w:rsidRPr="000C6DE0" w:rsidRDefault="00D47D53" w:rsidP="00FD276F">
            <w:pPr>
              <w:jc w:val="center"/>
              <w:rPr>
                <w:b/>
                <w:bCs/>
                <w:color w:val="FF0000"/>
              </w:rPr>
            </w:pPr>
            <w:r>
              <w:rPr>
                <w:b/>
                <w:bCs/>
              </w:rPr>
              <w:t xml:space="preserve"> 513,5</w:t>
            </w:r>
          </w:p>
        </w:tc>
        <w:tc>
          <w:tcPr>
            <w:tcW w:w="734" w:type="pct"/>
            <w:tcBorders>
              <w:top w:val="single" w:sz="4" w:space="0" w:color="auto"/>
              <w:left w:val="nil"/>
              <w:bottom w:val="single" w:sz="8" w:space="0" w:color="auto"/>
              <w:right w:val="single" w:sz="8" w:space="0" w:color="auto"/>
            </w:tcBorders>
            <w:vAlign w:val="center"/>
            <w:hideMark/>
          </w:tcPr>
          <w:p w14:paraId="3A69E6B9" w14:textId="77777777" w:rsidR="00FD276F" w:rsidRPr="000C6DE0" w:rsidRDefault="00FD276F" w:rsidP="00FD276F">
            <w:pPr>
              <w:jc w:val="center"/>
            </w:pPr>
          </w:p>
        </w:tc>
      </w:tr>
    </w:tbl>
    <w:p w14:paraId="085828FF" w14:textId="77777777" w:rsidR="002A6AC1" w:rsidRPr="000C6DE0" w:rsidRDefault="002A6AC1" w:rsidP="00E35D56">
      <w:pPr>
        <w:tabs>
          <w:tab w:val="left" w:pos="0"/>
          <w:tab w:val="left" w:pos="540"/>
        </w:tabs>
        <w:ind w:firstLine="709"/>
        <w:jc w:val="both"/>
      </w:pPr>
    </w:p>
    <w:p w14:paraId="674BA6FE" w14:textId="6B66B3A9" w:rsidR="00327740" w:rsidRDefault="00327740" w:rsidP="00327740">
      <w:pPr>
        <w:ind w:firstLine="709"/>
        <w:jc w:val="both"/>
      </w:pPr>
      <w:r w:rsidRPr="002A6AC1">
        <w:t>Valstybinei mokesčių inspekcijai nustatytoms papildomoms saugumo įnašo administravimo funkcijoms atlikti 2026 metais papildomai reikės 320 tūkst. eurų.</w:t>
      </w:r>
    </w:p>
    <w:p w14:paraId="0D3E4EDA" w14:textId="77777777" w:rsidR="00E35D56" w:rsidRPr="00B87A57" w:rsidRDefault="00E35D56" w:rsidP="00B87A57">
      <w:pPr>
        <w:ind w:firstLine="709"/>
        <w:jc w:val="both"/>
      </w:pPr>
    </w:p>
    <w:p w14:paraId="074EEB5E" w14:textId="23D88318" w:rsidR="00F163B2" w:rsidRPr="000C6DE0"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0C6DE0">
        <w:rPr>
          <w:b/>
          <w:bCs/>
        </w:rPr>
        <w:t>1</w:t>
      </w:r>
      <w:r w:rsidR="00A60F60" w:rsidRPr="000C6DE0">
        <w:rPr>
          <w:b/>
          <w:bCs/>
        </w:rPr>
        <w:t>4</w:t>
      </w:r>
      <w:r w:rsidRPr="000C6DE0">
        <w:rPr>
          <w:b/>
          <w:bCs/>
        </w:rPr>
        <w:t xml:space="preserve">. </w:t>
      </w:r>
      <w:r w:rsidR="00DC4C52" w:rsidRPr="000C6DE0">
        <w:rPr>
          <w:b/>
          <w:bCs/>
        </w:rPr>
        <w:t xml:space="preserve">Įstatymų projektų </w:t>
      </w:r>
      <w:r w:rsidRPr="000C6DE0">
        <w:rPr>
          <w:b/>
          <w:bCs/>
        </w:rPr>
        <w:t>rengimo metu gauti specialistų vertinimai, rekomendacijos ir išvados</w:t>
      </w:r>
    </w:p>
    <w:p w14:paraId="431174F6" w14:textId="6E1F9BCE" w:rsidR="000259C4" w:rsidRDefault="00D0423C" w:rsidP="0097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fontstyle55"/>
        </w:rPr>
      </w:pPr>
      <w:r w:rsidRPr="00690B1D">
        <w:rPr>
          <w:rStyle w:val="fontstyle55"/>
        </w:rPr>
        <w:t>Negauta.</w:t>
      </w:r>
    </w:p>
    <w:p w14:paraId="204C0A60" w14:textId="77777777" w:rsidR="009F148C" w:rsidRPr="000C6DE0" w:rsidRDefault="009F148C" w:rsidP="0097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p>
    <w:p w14:paraId="0FC0D990" w14:textId="6DBE491C" w:rsidR="00F163B2" w:rsidRPr="000C6DE0" w:rsidRDefault="00322D89" w:rsidP="00E70F92">
      <w:pPr>
        <w:ind w:firstLine="720"/>
        <w:jc w:val="both"/>
      </w:pPr>
      <w:r w:rsidRPr="000C6DE0">
        <w:rPr>
          <w:b/>
          <w:bCs/>
        </w:rPr>
        <w:t>1</w:t>
      </w:r>
      <w:r w:rsidR="00A60F60" w:rsidRPr="000C6DE0">
        <w:rPr>
          <w:b/>
          <w:bCs/>
        </w:rPr>
        <w:t>5</w:t>
      </w:r>
      <w:r w:rsidR="00F163B2" w:rsidRPr="000C6DE0">
        <w:rPr>
          <w:b/>
          <w:bCs/>
        </w:rPr>
        <w:t xml:space="preserve">. </w:t>
      </w:r>
      <w:r w:rsidR="00AF639B" w:rsidRPr="000C6DE0">
        <w:rPr>
          <w:b/>
          <w:bCs/>
        </w:rPr>
        <w:t xml:space="preserve">Reikšminiai žodžiai, kurių reikia </w:t>
      </w:r>
      <w:r w:rsidR="00D27E24" w:rsidRPr="000C6DE0">
        <w:rPr>
          <w:b/>
          <w:bCs/>
        </w:rPr>
        <w:t>Į</w:t>
      </w:r>
      <w:r w:rsidR="00DC4C52" w:rsidRPr="000C6DE0">
        <w:rPr>
          <w:b/>
          <w:bCs/>
        </w:rPr>
        <w:t xml:space="preserve">statymų projektams </w:t>
      </w:r>
      <w:r w:rsidR="00AF639B" w:rsidRPr="000C6DE0">
        <w:rPr>
          <w:b/>
          <w:bCs/>
        </w:rPr>
        <w:t>įtraukti į kompiuterinę paieškos sistemą, įskaitant Europos žodyn</w:t>
      </w:r>
      <w:r w:rsidRPr="000C6DE0">
        <w:rPr>
          <w:b/>
          <w:bCs/>
        </w:rPr>
        <w:t>o</w:t>
      </w:r>
      <w:r w:rsidR="00AF639B" w:rsidRPr="000C6DE0">
        <w:rPr>
          <w:b/>
          <w:bCs/>
        </w:rPr>
        <w:t xml:space="preserve"> </w:t>
      </w:r>
      <w:proofErr w:type="spellStart"/>
      <w:r w:rsidR="00AF639B" w:rsidRPr="000C6DE0">
        <w:rPr>
          <w:b/>
          <w:bCs/>
          <w:i/>
        </w:rPr>
        <w:t>Eurovoc</w:t>
      </w:r>
      <w:proofErr w:type="spellEnd"/>
      <w:r w:rsidRPr="000C6DE0">
        <w:rPr>
          <w:b/>
          <w:bCs/>
          <w:i/>
        </w:rPr>
        <w:t xml:space="preserve"> </w:t>
      </w:r>
      <w:r w:rsidRPr="000C6DE0">
        <w:rPr>
          <w:b/>
          <w:bCs/>
        </w:rPr>
        <w:t>terminus, temas bei sritis</w:t>
      </w:r>
    </w:p>
    <w:p w14:paraId="1AD05F2F" w14:textId="325F8BC9" w:rsidR="000251B7" w:rsidRPr="000C6DE0" w:rsidRDefault="000251B7" w:rsidP="000251B7">
      <w:pPr>
        <w:pStyle w:val="Pagrindinistekstas"/>
        <w:spacing w:after="0"/>
        <w:ind w:firstLine="709"/>
        <w:jc w:val="both"/>
      </w:pPr>
      <w:r w:rsidRPr="000C6DE0">
        <w:t>„Valstybės gynybos fondas“,</w:t>
      </w:r>
      <w:r w:rsidR="00F61330">
        <w:t xml:space="preserve"> „draudimo įmoka“, „saugumo įnašas“</w:t>
      </w:r>
      <w:r w:rsidR="00032A00">
        <w:t>.</w:t>
      </w:r>
    </w:p>
    <w:p w14:paraId="43C53AF6" w14:textId="77777777" w:rsidR="000C6DE0" w:rsidRPr="000C6DE0" w:rsidRDefault="000C6DE0" w:rsidP="00E70F92">
      <w:pPr>
        <w:ind w:firstLine="720"/>
        <w:jc w:val="both"/>
      </w:pPr>
    </w:p>
    <w:p w14:paraId="30530740" w14:textId="77777777" w:rsidR="00F163B2" w:rsidRPr="000C6DE0"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C6DE0">
        <w:rPr>
          <w:b/>
          <w:bCs/>
        </w:rPr>
        <w:t>1</w:t>
      </w:r>
      <w:r w:rsidR="00A60F60" w:rsidRPr="000C6DE0">
        <w:rPr>
          <w:b/>
          <w:bCs/>
        </w:rPr>
        <w:t>6</w:t>
      </w:r>
      <w:r w:rsidRPr="000C6DE0">
        <w:rPr>
          <w:b/>
          <w:bCs/>
        </w:rPr>
        <w:t>. Kiti, iniciatorių nuomone, reikalingi pagrindimai ir paaiškinimai</w:t>
      </w:r>
    </w:p>
    <w:p w14:paraId="6BA1845A" w14:textId="262EFD00" w:rsidR="00927883" w:rsidRPr="000C6DE0" w:rsidRDefault="00DC7A42" w:rsidP="005B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r w:rsidR="0016200D">
        <w:rPr>
          <w:lang w:eastAsia="lt-LT"/>
        </w:rPr>
        <w:t>.</w:t>
      </w:r>
    </w:p>
    <w:p w14:paraId="3C647B05" w14:textId="7DF64427" w:rsidR="00B15490" w:rsidRPr="004712EF" w:rsidRDefault="009A7AAF" w:rsidP="0092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0C6DE0">
        <w:t>_____________________</w:t>
      </w:r>
    </w:p>
    <w:sectPr w:rsidR="00B15490" w:rsidRPr="004712EF" w:rsidSect="00DC64BF">
      <w:headerReference w:type="even" r:id="rId9"/>
      <w:headerReference w:type="default" r:id="rId10"/>
      <w:footerReference w:type="default" r:id="rId11"/>
      <w:pgSz w:w="12240" w:h="15840"/>
      <w:pgMar w:top="1134" w:right="61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7D91" w14:textId="77777777" w:rsidR="003C55C4" w:rsidRDefault="003C55C4">
      <w:r>
        <w:separator/>
      </w:r>
    </w:p>
  </w:endnote>
  <w:endnote w:type="continuationSeparator" w:id="0">
    <w:p w14:paraId="19D6F18E" w14:textId="77777777" w:rsidR="003C55C4" w:rsidRDefault="003C55C4">
      <w:r>
        <w:continuationSeparator/>
      </w:r>
    </w:p>
  </w:endnote>
  <w:endnote w:type="continuationNotice" w:id="1">
    <w:p w14:paraId="4F0569AF" w14:textId="77777777" w:rsidR="003C55C4" w:rsidRDefault="003C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YInterstate Light">
    <w:altName w:val="Times New Roman"/>
    <w:charset w:val="BA"/>
    <w:family w:val="auto"/>
    <w:pitch w:val="variable"/>
    <w:sig w:usb0="00000001" w:usb1="5000206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63B0" w14:textId="77777777" w:rsidR="00B01046" w:rsidRDefault="00B010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FFB5" w14:textId="77777777" w:rsidR="003C55C4" w:rsidRDefault="003C55C4">
      <w:r>
        <w:separator/>
      </w:r>
    </w:p>
  </w:footnote>
  <w:footnote w:type="continuationSeparator" w:id="0">
    <w:p w14:paraId="51CBC442" w14:textId="77777777" w:rsidR="003C55C4" w:rsidRDefault="003C55C4">
      <w:r>
        <w:continuationSeparator/>
      </w:r>
    </w:p>
  </w:footnote>
  <w:footnote w:type="continuationNotice" w:id="1">
    <w:p w14:paraId="3AC58737" w14:textId="77777777" w:rsidR="003C55C4" w:rsidRDefault="003C5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8B44" w14:textId="77777777" w:rsidR="00B01046" w:rsidRDefault="00B010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8AA0C5" w14:textId="77777777" w:rsidR="00B01046" w:rsidRDefault="00B010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641E" w14:textId="77777777" w:rsidR="00B01046" w:rsidRDefault="00B010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034D">
      <w:rPr>
        <w:rStyle w:val="Puslapionumeris"/>
        <w:noProof/>
      </w:rPr>
      <w:t>2</w:t>
    </w:r>
    <w:r>
      <w:rPr>
        <w:rStyle w:val="Puslapionumeris"/>
      </w:rPr>
      <w:fldChar w:fldCharType="end"/>
    </w:r>
  </w:p>
  <w:p w14:paraId="1B50A22D" w14:textId="77777777" w:rsidR="00B01046" w:rsidRDefault="00B01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602"/>
    <w:multiLevelType w:val="hybridMultilevel"/>
    <w:tmpl w:val="073E57B4"/>
    <w:lvl w:ilvl="0" w:tplc="AED0E0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6CE485A"/>
    <w:multiLevelType w:val="hybridMultilevel"/>
    <w:tmpl w:val="D8BA12A6"/>
    <w:lvl w:ilvl="0" w:tplc="B7A4BB8A">
      <w:start w:val="1"/>
      <w:numFmt w:val="bullet"/>
      <w:lvlText w:val="•"/>
      <w:lvlJc w:val="left"/>
      <w:pPr>
        <w:tabs>
          <w:tab w:val="num" w:pos="720"/>
        </w:tabs>
        <w:ind w:left="720" w:hanging="360"/>
      </w:pPr>
      <w:rPr>
        <w:rFonts w:ascii="Times New Roman" w:hAnsi="Times New Roman" w:hint="default"/>
      </w:rPr>
    </w:lvl>
    <w:lvl w:ilvl="1" w:tplc="392E282C" w:tentative="1">
      <w:start w:val="1"/>
      <w:numFmt w:val="bullet"/>
      <w:lvlText w:val="•"/>
      <w:lvlJc w:val="left"/>
      <w:pPr>
        <w:tabs>
          <w:tab w:val="num" w:pos="1440"/>
        </w:tabs>
        <w:ind w:left="1440" w:hanging="360"/>
      </w:pPr>
      <w:rPr>
        <w:rFonts w:ascii="Times New Roman" w:hAnsi="Times New Roman" w:hint="default"/>
      </w:rPr>
    </w:lvl>
    <w:lvl w:ilvl="2" w:tplc="71E0161E" w:tentative="1">
      <w:start w:val="1"/>
      <w:numFmt w:val="bullet"/>
      <w:lvlText w:val="•"/>
      <w:lvlJc w:val="left"/>
      <w:pPr>
        <w:tabs>
          <w:tab w:val="num" w:pos="2160"/>
        </w:tabs>
        <w:ind w:left="2160" w:hanging="360"/>
      </w:pPr>
      <w:rPr>
        <w:rFonts w:ascii="Times New Roman" w:hAnsi="Times New Roman" w:hint="default"/>
      </w:rPr>
    </w:lvl>
    <w:lvl w:ilvl="3" w:tplc="EE221874" w:tentative="1">
      <w:start w:val="1"/>
      <w:numFmt w:val="bullet"/>
      <w:lvlText w:val="•"/>
      <w:lvlJc w:val="left"/>
      <w:pPr>
        <w:tabs>
          <w:tab w:val="num" w:pos="2880"/>
        </w:tabs>
        <w:ind w:left="2880" w:hanging="360"/>
      </w:pPr>
      <w:rPr>
        <w:rFonts w:ascii="Times New Roman" w:hAnsi="Times New Roman" w:hint="default"/>
      </w:rPr>
    </w:lvl>
    <w:lvl w:ilvl="4" w:tplc="700C1B9E" w:tentative="1">
      <w:start w:val="1"/>
      <w:numFmt w:val="bullet"/>
      <w:lvlText w:val="•"/>
      <w:lvlJc w:val="left"/>
      <w:pPr>
        <w:tabs>
          <w:tab w:val="num" w:pos="3600"/>
        </w:tabs>
        <w:ind w:left="3600" w:hanging="360"/>
      </w:pPr>
      <w:rPr>
        <w:rFonts w:ascii="Times New Roman" w:hAnsi="Times New Roman" w:hint="default"/>
      </w:rPr>
    </w:lvl>
    <w:lvl w:ilvl="5" w:tplc="C366C636" w:tentative="1">
      <w:start w:val="1"/>
      <w:numFmt w:val="bullet"/>
      <w:lvlText w:val="•"/>
      <w:lvlJc w:val="left"/>
      <w:pPr>
        <w:tabs>
          <w:tab w:val="num" w:pos="4320"/>
        </w:tabs>
        <w:ind w:left="4320" w:hanging="360"/>
      </w:pPr>
      <w:rPr>
        <w:rFonts w:ascii="Times New Roman" w:hAnsi="Times New Roman" w:hint="default"/>
      </w:rPr>
    </w:lvl>
    <w:lvl w:ilvl="6" w:tplc="89864C22" w:tentative="1">
      <w:start w:val="1"/>
      <w:numFmt w:val="bullet"/>
      <w:lvlText w:val="•"/>
      <w:lvlJc w:val="left"/>
      <w:pPr>
        <w:tabs>
          <w:tab w:val="num" w:pos="5040"/>
        </w:tabs>
        <w:ind w:left="5040" w:hanging="360"/>
      </w:pPr>
      <w:rPr>
        <w:rFonts w:ascii="Times New Roman" w:hAnsi="Times New Roman" w:hint="default"/>
      </w:rPr>
    </w:lvl>
    <w:lvl w:ilvl="7" w:tplc="3C5E6B34" w:tentative="1">
      <w:start w:val="1"/>
      <w:numFmt w:val="bullet"/>
      <w:lvlText w:val="•"/>
      <w:lvlJc w:val="left"/>
      <w:pPr>
        <w:tabs>
          <w:tab w:val="num" w:pos="5760"/>
        </w:tabs>
        <w:ind w:left="5760" w:hanging="360"/>
      </w:pPr>
      <w:rPr>
        <w:rFonts w:ascii="Times New Roman" w:hAnsi="Times New Roman" w:hint="default"/>
      </w:rPr>
    </w:lvl>
    <w:lvl w:ilvl="8" w:tplc="016E3E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544D16"/>
    <w:multiLevelType w:val="hybridMultilevel"/>
    <w:tmpl w:val="0C405C64"/>
    <w:lvl w:ilvl="0" w:tplc="BA26B830">
      <w:start w:val="1"/>
      <w:numFmt w:val="bullet"/>
      <w:lvlText w:val="•"/>
      <w:lvlJc w:val="left"/>
      <w:pPr>
        <w:tabs>
          <w:tab w:val="num" w:pos="720"/>
        </w:tabs>
        <w:ind w:left="720" w:hanging="360"/>
      </w:pPr>
      <w:rPr>
        <w:rFonts w:ascii="Times New Roman" w:hAnsi="Times New Roman" w:hint="default"/>
      </w:rPr>
    </w:lvl>
    <w:lvl w:ilvl="1" w:tplc="797C1A42" w:tentative="1">
      <w:start w:val="1"/>
      <w:numFmt w:val="bullet"/>
      <w:lvlText w:val="•"/>
      <w:lvlJc w:val="left"/>
      <w:pPr>
        <w:tabs>
          <w:tab w:val="num" w:pos="1440"/>
        </w:tabs>
        <w:ind w:left="1440" w:hanging="360"/>
      </w:pPr>
      <w:rPr>
        <w:rFonts w:ascii="Times New Roman" w:hAnsi="Times New Roman" w:hint="default"/>
      </w:rPr>
    </w:lvl>
    <w:lvl w:ilvl="2" w:tplc="D90E975A" w:tentative="1">
      <w:start w:val="1"/>
      <w:numFmt w:val="bullet"/>
      <w:lvlText w:val="•"/>
      <w:lvlJc w:val="left"/>
      <w:pPr>
        <w:tabs>
          <w:tab w:val="num" w:pos="2160"/>
        </w:tabs>
        <w:ind w:left="2160" w:hanging="360"/>
      </w:pPr>
      <w:rPr>
        <w:rFonts w:ascii="Times New Roman" w:hAnsi="Times New Roman" w:hint="default"/>
      </w:rPr>
    </w:lvl>
    <w:lvl w:ilvl="3" w:tplc="C0D4336C" w:tentative="1">
      <w:start w:val="1"/>
      <w:numFmt w:val="bullet"/>
      <w:lvlText w:val="•"/>
      <w:lvlJc w:val="left"/>
      <w:pPr>
        <w:tabs>
          <w:tab w:val="num" w:pos="2880"/>
        </w:tabs>
        <w:ind w:left="2880" w:hanging="360"/>
      </w:pPr>
      <w:rPr>
        <w:rFonts w:ascii="Times New Roman" w:hAnsi="Times New Roman" w:hint="default"/>
      </w:rPr>
    </w:lvl>
    <w:lvl w:ilvl="4" w:tplc="FC10B0A0" w:tentative="1">
      <w:start w:val="1"/>
      <w:numFmt w:val="bullet"/>
      <w:lvlText w:val="•"/>
      <w:lvlJc w:val="left"/>
      <w:pPr>
        <w:tabs>
          <w:tab w:val="num" w:pos="3600"/>
        </w:tabs>
        <w:ind w:left="3600" w:hanging="360"/>
      </w:pPr>
      <w:rPr>
        <w:rFonts w:ascii="Times New Roman" w:hAnsi="Times New Roman" w:hint="default"/>
      </w:rPr>
    </w:lvl>
    <w:lvl w:ilvl="5" w:tplc="8878E2A2" w:tentative="1">
      <w:start w:val="1"/>
      <w:numFmt w:val="bullet"/>
      <w:lvlText w:val="•"/>
      <w:lvlJc w:val="left"/>
      <w:pPr>
        <w:tabs>
          <w:tab w:val="num" w:pos="4320"/>
        </w:tabs>
        <w:ind w:left="4320" w:hanging="360"/>
      </w:pPr>
      <w:rPr>
        <w:rFonts w:ascii="Times New Roman" w:hAnsi="Times New Roman" w:hint="default"/>
      </w:rPr>
    </w:lvl>
    <w:lvl w:ilvl="6" w:tplc="E4EE2EA6" w:tentative="1">
      <w:start w:val="1"/>
      <w:numFmt w:val="bullet"/>
      <w:lvlText w:val="•"/>
      <w:lvlJc w:val="left"/>
      <w:pPr>
        <w:tabs>
          <w:tab w:val="num" w:pos="5040"/>
        </w:tabs>
        <w:ind w:left="5040" w:hanging="360"/>
      </w:pPr>
      <w:rPr>
        <w:rFonts w:ascii="Times New Roman" w:hAnsi="Times New Roman" w:hint="default"/>
      </w:rPr>
    </w:lvl>
    <w:lvl w:ilvl="7" w:tplc="EF808016" w:tentative="1">
      <w:start w:val="1"/>
      <w:numFmt w:val="bullet"/>
      <w:lvlText w:val="•"/>
      <w:lvlJc w:val="left"/>
      <w:pPr>
        <w:tabs>
          <w:tab w:val="num" w:pos="5760"/>
        </w:tabs>
        <w:ind w:left="5760" w:hanging="360"/>
      </w:pPr>
      <w:rPr>
        <w:rFonts w:ascii="Times New Roman" w:hAnsi="Times New Roman" w:hint="default"/>
      </w:rPr>
    </w:lvl>
    <w:lvl w:ilvl="8" w:tplc="2D289F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5A1C6A"/>
    <w:multiLevelType w:val="hybridMultilevel"/>
    <w:tmpl w:val="9AFC58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C0C684E"/>
    <w:multiLevelType w:val="hybridMultilevel"/>
    <w:tmpl w:val="CFD232EC"/>
    <w:lvl w:ilvl="0" w:tplc="9F341BAA">
      <w:start w:val="1"/>
      <w:numFmt w:val="bullet"/>
      <w:pStyle w:val="2lvlgeribulletai"/>
      <w:lvlText w:val="►"/>
      <w:lvlJc w:val="left"/>
      <w:pPr>
        <w:tabs>
          <w:tab w:val="num" w:pos="720"/>
        </w:tabs>
        <w:ind w:left="720" w:hanging="360"/>
      </w:pPr>
      <w:rPr>
        <w:rFonts w:ascii="Arial" w:hAnsi="Arial"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hint="default"/>
        <w:color w:val="FFC000"/>
      </w:rPr>
    </w:lvl>
    <w:lvl w:ilvl="3" w:tplc="D7021576">
      <w:start w:val="3"/>
      <w:numFmt w:val="bullet"/>
      <w:lvlText w:val="-"/>
      <w:lvlJc w:val="left"/>
      <w:pPr>
        <w:ind w:left="2880" w:hanging="360"/>
      </w:pPr>
      <w:rPr>
        <w:rFonts w:ascii="Arial" w:eastAsiaTheme="minorHAnsi" w:hAnsi="Arial" w:cs="Aria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475EF"/>
    <w:multiLevelType w:val="hybridMultilevel"/>
    <w:tmpl w:val="1C52D850"/>
    <w:lvl w:ilvl="0" w:tplc="FE3878BA">
      <w:start w:val="1"/>
      <w:numFmt w:val="bullet"/>
      <w:lvlText w:val="•"/>
      <w:lvlJc w:val="left"/>
      <w:pPr>
        <w:ind w:left="2203" w:hanging="360"/>
      </w:pPr>
      <w:rPr>
        <w:rFonts w:ascii="EYInterstate" w:hAnsi="EYInterstate" w:hint="default"/>
        <w:color w:val="auto"/>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1B777C"/>
    <w:multiLevelType w:val="multilevel"/>
    <w:tmpl w:val="30AEF2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FE3CDC"/>
    <w:multiLevelType w:val="hybridMultilevel"/>
    <w:tmpl w:val="F0CA2068"/>
    <w:lvl w:ilvl="0" w:tplc="04270001">
      <w:start w:val="1"/>
      <w:numFmt w:val="bullet"/>
      <w:lvlText w:val=""/>
      <w:lvlJc w:val="left"/>
      <w:pPr>
        <w:ind w:left="1202" w:hanging="360"/>
      </w:pPr>
      <w:rPr>
        <w:rFonts w:ascii="Symbol" w:hAnsi="Symbol"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8" w15:restartNumberingAfterBreak="0">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406AF"/>
    <w:multiLevelType w:val="multilevel"/>
    <w:tmpl w:val="50CABD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62500E"/>
    <w:multiLevelType w:val="multilevel"/>
    <w:tmpl w:val="C04A51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B028D6"/>
    <w:multiLevelType w:val="multilevel"/>
    <w:tmpl w:val="A6688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D22384"/>
    <w:multiLevelType w:val="multilevel"/>
    <w:tmpl w:val="83A019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A20588"/>
    <w:multiLevelType w:val="hybridMultilevel"/>
    <w:tmpl w:val="CF12A4FA"/>
    <w:lvl w:ilvl="0" w:tplc="7310BFFA">
      <w:start w:val="1"/>
      <w:numFmt w:val="bullet"/>
      <w:lvlText w:val="•"/>
      <w:lvlJc w:val="left"/>
      <w:pPr>
        <w:tabs>
          <w:tab w:val="num" w:pos="720"/>
        </w:tabs>
        <w:ind w:left="720" w:hanging="360"/>
      </w:pPr>
      <w:rPr>
        <w:rFonts w:ascii="Times New Roman" w:hAnsi="Times New Roman" w:hint="default"/>
      </w:rPr>
    </w:lvl>
    <w:lvl w:ilvl="1" w:tplc="92D220E0" w:tentative="1">
      <w:start w:val="1"/>
      <w:numFmt w:val="bullet"/>
      <w:lvlText w:val="•"/>
      <w:lvlJc w:val="left"/>
      <w:pPr>
        <w:tabs>
          <w:tab w:val="num" w:pos="1440"/>
        </w:tabs>
        <w:ind w:left="1440" w:hanging="360"/>
      </w:pPr>
      <w:rPr>
        <w:rFonts w:ascii="Times New Roman" w:hAnsi="Times New Roman" w:hint="default"/>
      </w:rPr>
    </w:lvl>
    <w:lvl w:ilvl="2" w:tplc="946C5A76" w:tentative="1">
      <w:start w:val="1"/>
      <w:numFmt w:val="bullet"/>
      <w:lvlText w:val="•"/>
      <w:lvlJc w:val="left"/>
      <w:pPr>
        <w:tabs>
          <w:tab w:val="num" w:pos="2160"/>
        </w:tabs>
        <w:ind w:left="2160" w:hanging="360"/>
      </w:pPr>
      <w:rPr>
        <w:rFonts w:ascii="Times New Roman" w:hAnsi="Times New Roman" w:hint="default"/>
      </w:rPr>
    </w:lvl>
    <w:lvl w:ilvl="3" w:tplc="E24622B4" w:tentative="1">
      <w:start w:val="1"/>
      <w:numFmt w:val="bullet"/>
      <w:lvlText w:val="•"/>
      <w:lvlJc w:val="left"/>
      <w:pPr>
        <w:tabs>
          <w:tab w:val="num" w:pos="2880"/>
        </w:tabs>
        <w:ind w:left="2880" w:hanging="360"/>
      </w:pPr>
      <w:rPr>
        <w:rFonts w:ascii="Times New Roman" w:hAnsi="Times New Roman" w:hint="default"/>
      </w:rPr>
    </w:lvl>
    <w:lvl w:ilvl="4" w:tplc="BF6AF648" w:tentative="1">
      <w:start w:val="1"/>
      <w:numFmt w:val="bullet"/>
      <w:lvlText w:val="•"/>
      <w:lvlJc w:val="left"/>
      <w:pPr>
        <w:tabs>
          <w:tab w:val="num" w:pos="3600"/>
        </w:tabs>
        <w:ind w:left="3600" w:hanging="360"/>
      </w:pPr>
      <w:rPr>
        <w:rFonts w:ascii="Times New Roman" w:hAnsi="Times New Roman" w:hint="default"/>
      </w:rPr>
    </w:lvl>
    <w:lvl w:ilvl="5" w:tplc="D3E6C8B8" w:tentative="1">
      <w:start w:val="1"/>
      <w:numFmt w:val="bullet"/>
      <w:lvlText w:val="•"/>
      <w:lvlJc w:val="left"/>
      <w:pPr>
        <w:tabs>
          <w:tab w:val="num" w:pos="4320"/>
        </w:tabs>
        <w:ind w:left="4320" w:hanging="360"/>
      </w:pPr>
      <w:rPr>
        <w:rFonts w:ascii="Times New Roman" w:hAnsi="Times New Roman" w:hint="default"/>
      </w:rPr>
    </w:lvl>
    <w:lvl w:ilvl="6" w:tplc="CE2267F8" w:tentative="1">
      <w:start w:val="1"/>
      <w:numFmt w:val="bullet"/>
      <w:lvlText w:val="•"/>
      <w:lvlJc w:val="left"/>
      <w:pPr>
        <w:tabs>
          <w:tab w:val="num" w:pos="5040"/>
        </w:tabs>
        <w:ind w:left="5040" w:hanging="360"/>
      </w:pPr>
      <w:rPr>
        <w:rFonts w:ascii="Times New Roman" w:hAnsi="Times New Roman" w:hint="default"/>
      </w:rPr>
    </w:lvl>
    <w:lvl w:ilvl="7" w:tplc="0854E93E" w:tentative="1">
      <w:start w:val="1"/>
      <w:numFmt w:val="bullet"/>
      <w:lvlText w:val="•"/>
      <w:lvlJc w:val="left"/>
      <w:pPr>
        <w:tabs>
          <w:tab w:val="num" w:pos="5760"/>
        </w:tabs>
        <w:ind w:left="5760" w:hanging="360"/>
      </w:pPr>
      <w:rPr>
        <w:rFonts w:ascii="Times New Roman" w:hAnsi="Times New Roman" w:hint="default"/>
      </w:rPr>
    </w:lvl>
    <w:lvl w:ilvl="8" w:tplc="A37C39E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0B6EDF"/>
    <w:multiLevelType w:val="hybridMultilevel"/>
    <w:tmpl w:val="E59C4302"/>
    <w:lvl w:ilvl="0" w:tplc="3324493C">
      <w:start w:val="10"/>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3862386"/>
    <w:multiLevelType w:val="hybridMultilevel"/>
    <w:tmpl w:val="F486733E"/>
    <w:lvl w:ilvl="0" w:tplc="DF5A1EF4">
      <w:start w:val="3"/>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DC83CDF"/>
    <w:multiLevelType w:val="hybridMultilevel"/>
    <w:tmpl w:val="59A8F306"/>
    <w:lvl w:ilvl="0" w:tplc="6EF054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16cid:durableId="913514564">
    <w:abstractNumId w:val="17"/>
  </w:num>
  <w:num w:numId="2" w16cid:durableId="592395334">
    <w:abstractNumId w:val="14"/>
  </w:num>
  <w:num w:numId="3" w16cid:durableId="1199975339">
    <w:abstractNumId w:val="9"/>
  </w:num>
  <w:num w:numId="4" w16cid:durableId="679084385">
    <w:abstractNumId w:val="10"/>
  </w:num>
  <w:num w:numId="5" w16cid:durableId="171184186">
    <w:abstractNumId w:val="21"/>
  </w:num>
  <w:num w:numId="6" w16cid:durableId="1002733314">
    <w:abstractNumId w:val="8"/>
  </w:num>
  <w:num w:numId="7" w16cid:durableId="2028873482">
    <w:abstractNumId w:val="5"/>
  </w:num>
  <w:num w:numId="8" w16cid:durableId="90469587">
    <w:abstractNumId w:val="4"/>
  </w:num>
  <w:num w:numId="9" w16cid:durableId="534464174">
    <w:abstractNumId w:val="20"/>
  </w:num>
  <w:num w:numId="10" w16cid:durableId="58867813">
    <w:abstractNumId w:val="3"/>
  </w:num>
  <w:num w:numId="11" w16cid:durableId="1809474510">
    <w:abstractNumId w:val="18"/>
  </w:num>
  <w:num w:numId="12" w16cid:durableId="775947776">
    <w:abstractNumId w:val="0"/>
  </w:num>
  <w:num w:numId="13" w16cid:durableId="258682485">
    <w:abstractNumId w:val="19"/>
  </w:num>
  <w:num w:numId="14" w16cid:durableId="1543206529">
    <w:abstractNumId w:val="16"/>
  </w:num>
  <w:num w:numId="15" w16cid:durableId="550463201">
    <w:abstractNumId w:val="2"/>
  </w:num>
  <w:num w:numId="16" w16cid:durableId="333456021">
    <w:abstractNumId w:val="1"/>
  </w:num>
  <w:num w:numId="17" w16cid:durableId="170997466">
    <w:abstractNumId w:val="7"/>
  </w:num>
  <w:num w:numId="18" w16cid:durableId="158533966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8625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7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66218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19193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473"/>
    <w:rsid w:val="00001640"/>
    <w:rsid w:val="00002D9F"/>
    <w:rsid w:val="0000505F"/>
    <w:rsid w:val="000075E6"/>
    <w:rsid w:val="00007E3F"/>
    <w:rsid w:val="000105B7"/>
    <w:rsid w:val="00010F14"/>
    <w:rsid w:val="0001154B"/>
    <w:rsid w:val="00011959"/>
    <w:rsid w:val="00011F4F"/>
    <w:rsid w:val="00012E28"/>
    <w:rsid w:val="000131C8"/>
    <w:rsid w:val="00013B42"/>
    <w:rsid w:val="00017CDF"/>
    <w:rsid w:val="00021183"/>
    <w:rsid w:val="0002382A"/>
    <w:rsid w:val="00023840"/>
    <w:rsid w:val="00023E93"/>
    <w:rsid w:val="000251B7"/>
    <w:rsid w:val="000259C4"/>
    <w:rsid w:val="00025CE9"/>
    <w:rsid w:val="00027506"/>
    <w:rsid w:val="0003083C"/>
    <w:rsid w:val="00032A00"/>
    <w:rsid w:val="000330CB"/>
    <w:rsid w:val="00035814"/>
    <w:rsid w:val="00036396"/>
    <w:rsid w:val="00037409"/>
    <w:rsid w:val="00047046"/>
    <w:rsid w:val="000471F3"/>
    <w:rsid w:val="0005006C"/>
    <w:rsid w:val="0005229C"/>
    <w:rsid w:val="0005498B"/>
    <w:rsid w:val="000572B6"/>
    <w:rsid w:val="00064088"/>
    <w:rsid w:val="0006524E"/>
    <w:rsid w:val="00065F73"/>
    <w:rsid w:val="00070D20"/>
    <w:rsid w:val="00071BDD"/>
    <w:rsid w:val="00071D02"/>
    <w:rsid w:val="00071F2A"/>
    <w:rsid w:val="00072933"/>
    <w:rsid w:val="000740BB"/>
    <w:rsid w:val="00076639"/>
    <w:rsid w:val="00077B5D"/>
    <w:rsid w:val="00080C06"/>
    <w:rsid w:val="0008323B"/>
    <w:rsid w:val="000848D0"/>
    <w:rsid w:val="00084DAC"/>
    <w:rsid w:val="00086FCE"/>
    <w:rsid w:val="00087382"/>
    <w:rsid w:val="00087E48"/>
    <w:rsid w:val="00091C47"/>
    <w:rsid w:val="00093292"/>
    <w:rsid w:val="0009370A"/>
    <w:rsid w:val="0009667F"/>
    <w:rsid w:val="0009701E"/>
    <w:rsid w:val="0009776D"/>
    <w:rsid w:val="000A2133"/>
    <w:rsid w:val="000A2817"/>
    <w:rsid w:val="000A2959"/>
    <w:rsid w:val="000A2C34"/>
    <w:rsid w:val="000A57B6"/>
    <w:rsid w:val="000B0562"/>
    <w:rsid w:val="000B1583"/>
    <w:rsid w:val="000B2246"/>
    <w:rsid w:val="000B2657"/>
    <w:rsid w:val="000B2BD4"/>
    <w:rsid w:val="000B38B6"/>
    <w:rsid w:val="000B474E"/>
    <w:rsid w:val="000B5877"/>
    <w:rsid w:val="000C1F96"/>
    <w:rsid w:val="000C2BC7"/>
    <w:rsid w:val="000C3CB2"/>
    <w:rsid w:val="000C4D06"/>
    <w:rsid w:val="000C61F6"/>
    <w:rsid w:val="000C6DE0"/>
    <w:rsid w:val="000D4618"/>
    <w:rsid w:val="000D487A"/>
    <w:rsid w:val="000D628A"/>
    <w:rsid w:val="000E28D4"/>
    <w:rsid w:val="000E2922"/>
    <w:rsid w:val="000E3FDB"/>
    <w:rsid w:val="000E3FF3"/>
    <w:rsid w:val="000E411A"/>
    <w:rsid w:val="000E41B3"/>
    <w:rsid w:val="000E41D7"/>
    <w:rsid w:val="000E70F2"/>
    <w:rsid w:val="000F3814"/>
    <w:rsid w:val="000F62CC"/>
    <w:rsid w:val="000F69D3"/>
    <w:rsid w:val="000F7F0D"/>
    <w:rsid w:val="00102190"/>
    <w:rsid w:val="001023B4"/>
    <w:rsid w:val="0010382A"/>
    <w:rsid w:val="00103C50"/>
    <w:rsid w:val="001050CC"/>
    <w:rsid w:val="00106C7C"/>
    <w:rsid w:val="00107669"/>
    <w:rsid w:val="0011034C"/>
    <w:rsid w:val="00111B29"/>
    <w:rsid w:val="00113091"/>
    <w:rsid w:val="00115DBB"/>
    <w:rsid w:val="00120779"/>
    <w:rsid w:val="001219F1"/>
    <w:rsid w:val="00122161"/>
    <w:rsid w:val="00123C09"/>
    <w:rsid w:val="00124319"/>
    <w:rsid w:val="00124C95"/>
    <w:rsid w:val="00125654"/>
    <w:rsid w:val="0012776D"/>
    <w:rsid w:val="00132C04"/>
    <w:rsid w:val="00134F68"/>
    <w:rsid w:val="00135B50"/>
    <w:rsid w:val="00140103"/>
    <w:rsid w:val="00141BCB"/>
    <w:rsid w:val="00142058"/>
    <w:rsid w:val="001447C2"/>
    <w:rsid w:val="00147499"/>
    <w:rsid w:val="001503D5"/>
    <w:rsid w:val="001521C0"/>
    <w:rsid w:val="00154475"/>
    <w:rsid w:val="00155605"/>
    <w:rsid w:val="00160DE5"/>
    <w:rsid w:val="00161596"/>
    <w:rsid w:val="0016200D"/>
    <w:rsid w:val="00162D8B"/>
    <w:rsid w:val="0016317C"/>
    <w:rsid w:val="00164769"/>
    <w:rsid w:val="00164872"/>
    <w:rsid w:val="0016649A"/>
    <w:rsid w:val="0016675F"/>
    <w:rsid w:val="00171679"/>
    <w:rsid w:val="0017213A"/>
    <w:rsid w:val="0017249C"/>
    <w:rsid w:val="00174053"/>
    <w:rsid w:val="001749DE"/>
    <w:rsid w:val="00175E54"/>
    <w:rsid w:val="001804E6"/>
    <w:rsid w:val="00180DC5"/>
    <w:rsid w:val="00181DE0"/>
    <w:rsid w:val="0018213F"/>
    <w:rsid w:val="00182431"/>
    <w:rsid w:val="00183053"/>
    <w:rsid w:val="00183F88"/>
    <w:rsid w:val="0018600D"/>
    <w:rsid w:val="001868DD"/>
    <w:rsid w:val="00186F42"/>
    <w:rsid w:val="00187D4A"/>
    <w:rsid w:val="00190061"/>
    <w:rsid w:val="00194B70"/>
    <w:rsid w:val="001950D8"/>
    <w:rsid w:val="001975B3"/>
    <w:rsid w:val="00197819"/>
    <w:rsid w:val="001A3560"/>
    <w:rsid w:val="001A4D8C"/>
    <w:rsid w:val="001A5A29"/>
    <w:rsid w:val="001A6640"/>
    <w:rsid w:val="001A781D"/>
    <w:rsid w:val="001B0DC4"/>
    <w:rsid w:val="001B1042"/>
    <w:rsid w:val="001B218C"/>
    <w:rsid w:val="001B3D02"/>
    <w:rsid w:val="001B3D20"/>
    <w:rsid w:val="001B496F"/>
    <w:rsid w:val="001C169E"/>
    <w:rsid w:val="001C1898"/>
    <w:rsid w:val="001C1D60"/>
    <w:rsid w:val="001C39A3"/>
    <w:rsid w:val="001C6478"/>
    <w:rsid w:val="001C709E"/>
    <w:rsid w:val="001D0325"/>
    <w:rsid w:val="001D05F7"/>
    <w:rsid w:val="001D10D6"/>
    <w:rsid w:val="001D1E17"/>
    <w:rsid w:val="001D2C41"/>
    <w:rsid w:val="001D4516"/>
    <w:rsid w:val="001D593D"/>
    <w:rsid w:val="001D6A73"/>
    <w:rsid w:val="001D6D46"/>
    <w:rsid w:val="001E0963"/>
    <w:rsid w:val="001E17F1"/>
    <w:rsid w:val="001E31E1"/>
    <w:rsid w:val="001E40C0"/>
    <w:rsid w:val="001E41F1"/>
    <w:rsid w:val="001E5F9E"/>
    <w:rsid w:val="001F21F6"/>
    <w:rsid w:val="001F2602"/>
    <w:rsid w:val="001F2EA0"/>
    <w:rsid w:val="001F5094"/>
    <w:rsid w:val="001F55AA"/>
    <w:rsid w:val="001F5855"/>
    <w:rsid w:val="00200E74"/>
    <w:rsid w:val="00200EE1"/>
    <w:rsid w:val="00201640"/>
    <w:rsid w:val="002025DC"/>
    <w:rsid w:val="00203D9A"/>
    <w:rsid w:val="00203F48"/>
    <w:rsid w:val="00204021"/>
    <w:rsid w:val="00204A52"/>
    <w:rsid w:val="00210D8F"/>
    <w:rsid w:val="0021114D"/>
    <w:rsid w:val="00211D5B"/>
    <w:rsid w:val="00213B52"/>
    <w:rsid w:val="002154B0"/>
    <w:rsid w:val="00215ECA"/>
    <w:rsid w:val="00216AD6"/>
    <w:rsid w:val="00220D0D"/>
    <w:rsid w:val="00222C39"/>
    <w:rsid w:val="002242CC"/>
    <w:rsid w:val="0022526C"/>
    <w:rsid w:val="00226378"/>
    <w:rsid w:val="002268B2"/>
    <w:rsid w:val="0023094E"/>
    <w:rsid w:val="00231EE4"/>
    <w:rsid w:val="002321C2"/>
    <w:rsid w:val="00235048"/>
    <w:rsid w:val="00236112"/>
    <w:rsid w:val="00237097"/>
    <w:rsid w:val="00240937"/>
    <w:rsid w:val="00240D6C"/>
    <w:rsid w:val="002415A2"/>
    <w:rsid w:val="00241E95"/>
    <w:rsid w:val="00242B5E"/>
    <w:rsid w:val="002436A9"/>
    <w:rsid w:val="002450AA"/>
    <w:rsid w:val="002470D5"/>
    <w:rsid w:val="002478A8"/>
    <w:rsid w:val="00247E31"/>
    <w:rsid w:val="002504EF"/>
    <w:rsid w:val="00250747"/>
    <w:rsid w:val="00250F30"/>
    <w:rsid w:val="002514C9"/>
    <w:rsid w:val="00252695"/>
    <w:rsid w:val="00253CBC"/>
    <w:rsid w:val="00253CDE"/>
    <w:rsid w:val="00255A3D"/>
    <w:rsid w:val="00257867"/>
    <w:rsid w:val="002636B4"/>
    <w:rsid w:val="00265013"/>
    <w:rsid w:val="00266299"/>
    <w:rsid w:val="00272F35"/>
    <w:rsid w:val="002742B2"/>
    <w:rsid w:val="00275E5C"/>
    <w:rsid w:val="00276991"/>
    <w:rsid w:val="00277742"/>
    <w:rsid w:val="00277CC8"/>
    <w:rsid w:val="00281FA2"/>
    <w:rsid w:val="00282271"/>
    <w:rsid w:val="002839B8"/>
    <w:rsid w:val="00284300"/>
    <w:rsid w:val="00285A67"/>
    <w:rsid w:val="002862BC"/>
    <w:rsid w:val="00286E2E"/>
    <w:rsid w:val="002930E3"/>
    <w:rsid w:val="002955E2"/>
    <w:rsid w:val="00296A20"/>
    <w:rsid w:val="0029720E"/>
    <w:rsid w:val="002A0BB8"/>
    <w:rsid w:val="002A107D"/>
    <w:rsid w:val="002A416A"/>
    <w:rsid w:val="002A521E"/>
    <w:rsid w:val="002A59F0"/>
    <w:rsid w:val="002A6AC1"/>
    <w:rsid w:val="002B0CFD"/>
    <w:rsid w:val="002B30D4"/>
    <w:rsid w:val="002B384F"/>
    <w:rsid w:val="002B5058"/>
    <w:rsid w:val="002B6BCB"/>
    <w:rsid w:val="002C00B8"/>
    <w:rsid w:val="002C1B2E"/>
    <w:rsid w:val="002C4232"/>
    <w:rsid w:val="002C435B"/>
    <w:rsid w:val="002C5F1B"/>
    <w:rsid w:val="002C6E0B"/>
    <w:rsid w:val="002D1DE3"/>
    <w:rsid w:val="002D1FF1"/>
    <w:rsid w:val="002D2F6D"/>
    <w:rsid w:val="002D4A30"/>
    <w:rsid w:val="002D4D5F"/>
    <w:rsid w:val="002D4E01"/>
    <w:rsid w:val="002D529F"/>
    <w:rsid w:val="002D53A2"/>
    <w:rsid w:val="002D562A"/>
    <w:rsid w:val="002D6A6A"/>
    <w:rsid w:val="002E10CC"/>
    <w:rsid w:val="002E16E7"/>
    <w:rsid w:val="002E213F"/>
    <w:rsid w:val="002E52E2"/>
    <w:rsid w:val="002E662E"/>
    <w:rsid w:val="002F0263"/>
    <w:rsid w:val="002F0460"/>
    <w:rsid w:val="002F0DD4"/>
    <w:rsid w:val="002F232E"/>
    <w:rsid w:val="002F2B6A"/>
    <w:rsid w:val="002F3660"/>
    <w:rsid w:val="002F3EF1"/>
    <w:rsid w:val="002F4268"/>
    <w:rsid w:val="002F4DCC"/>
    <w:rsid w:val="002F558E"/>
    <w:rsid w:val="002F57EB"/>
    <w:rsid w:val="002F78DE"/>
    <w:rsid w:val="003008B8"/>
    <w:rsid w:val="00301E12"/>
    <w:rsid w:val="003030C8"/>
    <w:rsid w:val="003055A2"/>
    <w:rsid w:val="003057AE"/>
    <w:rsid w:val="00305F39"/>
    <w:rsid w:val="00311881"/>
    <w:rsid w:val="00311C4D"/>
    <w:rsid w:val="00312BF9"/>
    <w:rsid w:val="00314DD2"/>
    <w:rsid w:val="0031502C"/>
    <w:rsid w:val="0031760A"/>
    <w:rsid w:val="00317F84"/>
    <w:rsid w:val="0032002E"/>
    <w:rsid w:val="00321143"/>
    <w:rsid w:val="00321F48"/>
    <w:rsid w:val="00322D89"/>
    <w:rsid w:val="00323D99"/>
    <w:rsid w:val="003244EC"/>
    <w:rsid w:val="0032725F"/>
    <w:rsid w:val="00327740"/>
    <w:rsid w:val="00330DDE"/>
    <w:rsid w:val="00331996"/>
    <w:rsid w:val="0033356D"/>
    <w:rsid w:val="00333744"/>
    <w:rsid w:val="003400DE"/>
    <w:rsid w:val="00341079"/>
    <w:rsid w:val="0034159B"/>
    <w:rsid w:val="00350B33"/>
    <w:rsid w:val="0035223A"/>
    <w:rsid w:val="00354374"/>
    <w:rsid w:val="00357839"/>
    <w:rsid w:val="00360B2C"/>
    <w:rsid w:val="003614AB"/>
    <w:rsid w:val="003622A4"/>
    <w:rsid w:val="003624CA"/>
    <w:rsid w:val="003626DA"/>
    <w:rsid w:val="003629C7"/>
    <w:rsid w:val="0036334C"/>
    <w:rsid w:val="00363D9B"/>
    <w:rsid w:val="00365265"/>
    <w:rsid w:val="00365C11"/>
    <w:rsid w:val="00372CFD"/>
    <w:rsid w:val="00372E8F"/>
    <w:rsid w:val="00380C8C"/>
    <w:rsid w:val="003831DE"/>
    <w:rsid w:val="0038323B"/>
    <w:rsid w:val="00384B42"/>
    <w:rsid w:val="00387017"/>
    <w:rsid w:val="00387C44"/>
    <w:rsid w:val="00387CD5"/>
    <w:rsid w:val="0039002B"/>
    <w:rsid w:val="00392D91"/>
    <w:rsid w:val="0039392D"/>
    <w:rsid w:val="00395804"/>
    <w:rsid w:val="003978F8"/>
    <w:rsid w:val="003A2280"/>
    <w:rsid w:val="003A4A58"/>
    <w:rsid w:val="003A5AC7"/>
    <w:rsid w:val="003A5F87"/>
    <w:rsid w:val="003A6B31"/>
    <w:rsid w:val="003A6FB1"/>
    <w:rsid w:val="003A7196"/>
    <w:rsid w:val="003A7D43"/>
    <w:rsid w:val="003B532C"/>
    <w:rsid w:val="003B60AB"/>
    <w:rsid w:val="003B7B57"/>
    <w:rsid w:val="003C14E1"/>
    <w:rsid w:val="003C177E"/>
    <w:rsid w:val="003C195C"/>
    <w:rsid w:val="003C1DB9"/>
    <w:rsid w:val="003C2850"/>
    <w:rsid w:val="003C4121"/>
    <w:rsid w:val="003C55C4"/>
    <w:rsid w:val="003D50FA"/>
    <w:rsid w:val="003D643B"/>
    <w:rsid w:val="003D757C"/>
    <w:rsid w:val="003D7BFA"/>
    <w:rsid w:val="003E2021"/>
    <w:rsid w:val="003E2064"/>
    <w:rsid w:val="003E3441"/>
    <w:rsid w:val="003E6806"/>
    <w:rsid w:val="003E77AF"/>
    <w:rsid w:val="003E79B1"/>
    <w:rsid w:val="003E79B6"/>
    <w:rsid w:val="003F00FB"/>
    <w:rsid w:val="003F0772"/>
    <w:rsid w:val="003F404F"/>
    <w:rsid w:val="003F6319"/>
    <w:rsid w:val="003F7F85"/>
    <w:rsid w:val="004011AE"/>
    <w:rsid w:val="0040132A"/>
    <w:rsid w:val="0040137B"/>
    <w:rsid w:val="00401DEE"/>
    <w:rsid w:val="004022F6"/>
    <w:rsid w:val="00402C9D"/>
    <w:rsid w:val="0040534B"/>
    <w:rsid w:val="0040717A"/>
    <w:rsid w:val="00407662"/>
    <w:rsid w:val="004107D9"/>
    <w:rsid w:val="00411A6A"/>
    <w:rsid w:val="00414F6B"/>
    <w:rsid w:val="004152FA"/>
    <w:rsid w:val="00416656"/>
    <w:rsid w:val="00416FFE"/>
    <w:rsid w:val="00417AB7"/>
    <w:rsid w:val="00417C05"/>
    <w:rsid w:val="004203C4"/>
    <w:rsid w:val="00420512"/>
    <w:rsid w:val="004205D5"/>
    <w:rsid w:val="00420DDE"/>
    <w:rsid w:val="00421650"/>
    <w:rsid w:val="00423851"/>
    <w:rsid w:val="00426065"/>
    <w:rsid w:val="0042648F"/>
    <w:rsid w:val="00426B0B"/>
    <w:rsid w:val="00426C5C"/>
    <w:rsid w:val="00427484"/>
    <w:rsid w:val="004309E5"/>
    <w:rsid w:val="00430C85"/>
    <w:rsid w:val="0043183A"/>
    <w:rsid w:val="004337DC"/>
    <w:rsid w:val="00433CC7"/>
    <w:rsid w:val="00435814"/>
    <w:rsid w:val="00435B2F"/>
    <w:rsid w:val="00437F3E"/>
    <w:rsid w:val="004437F6"/>
    <w:rsid w:val="00444686"/>
    <w:rsid w:val="00444CD0"/>
    <w:rsid w:val="004459A0"/>
    <w:rsid w:val="00446048"/>
    <w:rsid w:val="00447CA8"/>
    <w:rsid w:val="00447D2F"/>
    <w:rsid w:val="00450CBC"/>
    <w:rsid w:val="00452B60"/>
    <w:rsid w:val="004543BD"/>
    <w:rsid w:val="0045539A"/>
    <w:rsid w:val="00457A0C"/>
    <w:rsid w:val="0046264A"/>
    <w:rsid w:val="00462D94"/>
    <w:rsid w:val="00463FC4"/>
    <w:rsid w:val="004651B3"/>
    <w:rsid w:val="00466229"/>
    <w:rsid w:val="00466775"/>
    <w:rsid w:val="0046687B"/>
    <w:rsid w:val="004712EF"/>
    <w:rsid w:val="004719CD"/>
    <w:rsid w:val="004738D4"/>
    <w:rsid w:val="00473FB7"/>
    <w:rsid w:val="0047711B"/>
    <w:rsid w:val="00481044"/>
    <w:rsid w:val="004818AF"/>
    <w:rsid w:val="00482A70"/>
    <w:rsid w:val="00483A23"/>
    <w:rsid w:val="00486C43"/>
    <w:rsid w:val="004874BC"/>
    <w:rsid w:val="00491A69"/>
    <w:rsid w:val="00494FE9"/>
    <w:rsid w:val="0049792F"/>
    <w:rsid w:val="00497C61"/>
    <w:rsid w:val="00497C72"/>
    <w:rsid w:val="00497F4A"/>
    <w:rsid w:val="004A0CD7"/>
    <w:rsid w:val="004A19E7"/>
    <w:rsid w:val="004A2A8F"/>
    <w:rsid w:val="004A2B1F"/>
    <w:rsid w:val="004A2D22"/>
    <w:rsid w:val="004A3B4F"/>
    <w:rsid w:val="004A5D76"/>
    <w:rsid w:val="004A602E"/>
    <w:rsid w:val="004A6188"/>
    <w:rsid w:val="004A6AC9"/>
    <w:rsid w:val="004A7440"/>
    <w:rsid w:val="004A79EE"/>
    <w:rsid w:val="004B099F"/>
    <w:rsid w:val="004B4F9B"/>
    <w:rsid w:val="004C1D43"/>
    <w:rsid w:val="004C2289"/>
    <w:rsid w:val="004C307D"/>
    <w:rsid w:val="004C6734"/>
    <w:rsid w:val="004D12CA"/>
    <w:rsid w:val="004D3599"/>
    <w:rsid w:val="004D3EB7"/>
    <w:rsid w:val="004D4939"/>
    <w:rsid w:val="004D7936"/>
    <w:rsid w:val="004E0CF9"/>
    <w:rsid w:val="004E3AEB"/>
    <w:rsid w:val="004E5CFC"/>
    <w:rsid w:val="004E6479"/>
    <w:rsid w:val="004E694E"/>
    <w:rsid w:val="004E74AE"/>
    <w:rsid w:val="004F2104"/>
    <w:rsid w:val="004F42AB"/>
    <w:rsid w:val="004F55F4"/>
    <w:rsid w:val="004F6E46"/>
    <w:rsid w:val="00500651"/>
    <w:rsid w:val="00500F12"/>
    <w:rsid w:val="00503BF0"/>
    <w:rsid w:val="00504EBA"/>
    <w:rsid w:val="00507545"/>
    <w:rsid w:val="00507E70"/>
    <w:rsid w:val="00510CBE"/>
    <w:rsid w:val="0051604E"/>
    <w:rsid w:val="00517C50"/>
    <w:rsid w:val="00517F6B"/>
    <w:rsid w:val="005202FC"/>
    <w:rsid w:val="00520C74"/>
    <w:rsid w:val="005234FF"/>
    <w:rsid w:val="00524647"/>
    <w:rsid w:val="00525279"/>
    <w:rsid w:val="00525944"/>
    <w:rsid w:val="005305B7"/>
    <w:rsid w:val="005316E3"/>
    <w:rsid w:val="00535940"/>
    <w:rsid w:val="00537052"/>
    <w:rsid w:val="00540DF4"/>
    <w:rsid w:val="00541C8B"/>
    <w:rsid w:val="005457A8"/>
    <w:rsid w:val="005465AD"/>
    <w:rsid w:val="00547DF7"/>
    <w:rsid w:val="0055192B"/>
    <w:rsid w:val="00551A9F"/>
    <w:rsid w:val="00552536"/>
    <w:rsid w:val="00554673"/>
    <w:rsid w:val="005578A8"/>
    <w:rsid w:val="00557BA5"/>
    <w:rsid w:val="0056269E"/>
    <w:rsid w:val="00562958"/>
    <w:rsid w:val="00567035"/>
    <w:rsid w:val="00567682"/>
    <w:rsid w:val="005704D4"/>
    <w:rsid w:val="0057223F"/>
    <w:rsid w:val="00572B9A"/>
    <w:rsid w:val="005749FD"/>
    <w:rsid w:val="00576603"/>
    <w:rsid w:val="00576C6C"/>
    <w:rsid w:val="0057786A"/>
    <w:rsid w:val="00582082"/>
    <w:rsid w:val="00582CD4"/>
    <w:rsid w:val="005837EE"/>
    <w:rsid w:val="00584BDD"/>
    <w:rsid w:val="00586E9F"/>
    <w:rsid w:val="005904F6"/>
    <w:rsid w:val="00591576"/>
    <w:rsid w:val="0059249D"/>
    <w:rsid w:val="0059379C"/>
    <w:rsid w:val="00593A6B"/>
    <w:rsid w:val="00593C6A"/>
    <w:rsid w:val="00594BEB"/>
    <w:rsid w:val="00594C88"/>
    <w:rsid w:val="00595257"/>
    <w:rsid w:val="0059589C"/>
    <w:rsid w:val="00595BDF"/>
    <w:rsid w:val="00596DDA"/>
    <w:rsid w:val="00596FA3"/>
    <w:rsid w:val="005971D2"/>
    <w:rsid w:val="005974C3"/>
    <w:rsid w:val="005A0D5A"/>
    <w:rsid w:val="005A402C"/>
    <w:rsid w:val="005A4F4E"/>
    <w:rsid w:val="005B0A63"/>
    <w:rsid w:val="005B0E05"/>
    <w:rsid w:val="005B1137"/>
    <w:rsid w:val="005B1925"/>
    <w:rsid w:val="005B1EE2"/>
    <w:rsid w:val="005B378D"/>
    <w:rsid w:val="005B3A13"/>
    <w:rsid w:val="005B4D78"/>
    <w:rsid w:val="005B54A1"/>
    <w:rsid w:val="005B5879"/>
    <w:rsid w:val="005B783E"/>
    <w:rsid w:val="005C4576"/>
    <w:rsid w:val="005C7774"/>
    <w:rsid w:val="005C7B33"/>
    <w:rsid w:val="005D1849"/>
    <w:rsid w:val="005D19B7"/>
    <w:rsid w:val="005D1D73"/>
    <w:rsid w:val="005D1FC0"/>
    <w:rsid w:val="005D2640"/>
    <w:rsid w:val="005D26E0"/>
    <w:rsid w:val="005D32AC"/>
    <w:rsid w:val="005D449F"/>
    <w:rsid w:val="005D4FE8"/>
    <w:rsid w:val="005D6693"/>
    <w:rsid w:val="005D7927"/>
    <w:rsid w:val="005E0D51"/>
    <w:rsid w:val="005E0FEC"/>
    <w:rsid w:val="005E2A8D"/>
    <w:rsid w:val="005E31CB"/>
    <w:rsid w:val="005E3AA9"/>
    <w:rsid w:val="005E4735"/>
    <w:rsid w:val="005E7375"/>
    <w:rsid w:val="005F2045"/>
    <w:rsid w:val="005F4081"/>
    <w:rsid w:val="005F427D"/>
    <w:rsid w:val="005F5A77"/>
    <w:rsid w:val="0060157F"/>
    <w:rsid w:val="00601D80"/>
    <w:rsid w:val="00601FA3"/>
    <w:rsid w:val="006026E8"/>
    <w:rsid w:val="0060538D"/>
    <w:rsid w:val="00605AF5"/>
    <w:rsid w:val="00610781"/>
    <w:rsid w:val="00613801"/>
    <w:rsid w:val="00615368"/>
    <w:rsid w:val="0061690F"/>
    <w:rsid w:val="00616E94"/>
    <w:rsid w:val="0062071D"/>
    <w:rsid w:val="00621619"/>
    <w:rsid w:val="00623308"/>
    <w:rsid w:val="0062605F"/>
    <w:rsid w:val="006277D5"/>
    <w:rsid w:val="00627886"/>
    <w:rsid w:val="0063032D"/>
    <w:rsid w:val="00630BF0"/>
    <w:rsid w:val="00630E50"/>
    <w:rsid w:val="00631140"/>
    <w:rsid w:val="00631305"/>
    <w:rsid w:val="00632382"/>
    <w:rsid w:val="006328C3"/>
    <w:rsid w:val="00634270"/>
    <w:rsid w:val="00635088"/>
    <w:rsid w:val="0063540C"/>
    <w:rsid w:val="00640039"/>
    <w:rsid w:val="00640572"/>
    <w:rsid w:val="00640986"/>
    <w:rsid w:val="00640B73"/>
    <w:rsid w:val="00641BD4"/>
    <w:rsid w:val="00644CC5"/>
    <w:rsid w:val="006450EC"/>
    <w:rsid w:val="00645DA6"/>
    <w:rsid w:val="00646321"/>
    <w:rsid w:val="0064690D"/>
    <w:rsid w:val="00647CF1"/>
    <w:rsid w:val="00647FF2"/>
    <w:rsid w:val="00651560"/>
    <w:rsid w:val="006519F4"/>
    <w:rsid w:val="00651E1E"/>
    <w:rsid w:val="006544A8"/>
    <w:rsid w:val="006547B1"/>
    <w:rsid w:val="00660359"/>
    <w:rsid w:val="00660FF7"/>
    <w:rsid w:val="0066331C"/>
    <w:rsid w:val="00663BF3"/>
    <w:rsid w:val="00663FB6"/>
    <w:rsid w:val="00667502"/>
    <w:rsid w:val="00667E81"/>
    <w:rsid w:val="00670F51"/>
    <w:rsid w:val="00672B25"/>
    <w:rsid w:val="0067581A"/>
    <w:rsid w:val="00676315"/>
    <w:rsid w:val="006776E5"/>
    <w:rsid w:val="006800AA"/>
    <w:rsid w:val="0068037D"/>
    <w:rsid w:val="0068271D"/>
    <w:rsid w:val="00684C88"/>
    <w:rsid w:val="006862EE"/>
    <w:rsid w:val="006876C1"/>
    <w:rsid w:val="006914E0"/>
    <w:rsid w:val="00694C2A"/>
    <w:rsid w:val="00694DBF"/>
    <w:rsid w:val="00696E0C"/>
    <w:rsid w:val="00697814"/>
    <w:rsid w:val="006979BA"/>
    <w:rsid w:val="00697CA2"/>
    <w:rsid w:val="006A0B7C"/>
    <w:rsid w:val="006A218B"/>
    <w:rsid w:val="006A2C16"/>
    <w:rsid w:val="006A3D78"/>
    <w:rsid w:val="006A42A6"/>
    <w:rsid w:val="006A4802"/>
    <w:rsid w:val="006A6CDF"/>
    <w:rsid w:val="006A783F"/>
    <w:rsid w:val="006B0069"/>
    <w:rsid w:val="006B0085"/>
    <w:rsid w:val="006B0FE1"/>
    <w:rsid w:val="006B1A6F"/>
    <w:rsid w:val="006B3D51"/>
    <w:rsid w:val="006B4ADB"/>
    <w:rsid w:val="006B5CB4"/>
    <w:rsid w:val="006C0F65"/>
    <w:rsid w:val="006C22AE"/>
    <w:rsid w:val="006C2679"/>
    <w:rsid w:val="006C2F8E"/>
    <w:rsid w:val="006C33BB"/>
    <w:rsid w:val="006C3EE1"/>
    <w:rsid w:val="006C5296"/>
    <w:rsid w:val="006C5D65"/>
    <w:rsid w:val="006C6AE0"/>
    <w:rsid w:val="006C7FBF"/>
    <w:rsid w:val="006D2074"/>
    <w:rsid w:val="006D2790"/>
    <w:rsid w:val="006D3063"/>
    <w:rsid w:val="006D3AA0"/>
    <w:rsid w:val="006D4B1D"/>
    <w:rsid w:val="006D4E6B"/>
    <w:rsid w:val="006D67EC"/>
    <w:rsid w:val="006D6958"/>
    <w:rsid w:val="006E0B3E"/>
    <w:rsid w:val="006E141A"/>
    <w:rsid w:val="006E2B4A"/>
    <w:rsid w:val="006E40D5"/>
    <w:rsid w:val="006E454D"/>
    <w:rsid w:val="006E4593"/>
    <w:rsid w:val="006E6104"/>
    <w:rsid w:val="006E6DE0"/>
    <w:rsid w:val="006E7613"/>
    <w:rsid w:val="006E7FDA"/>
    <w:rsid w:val="006F0ED6"/>
    <w:rsid w:val="006F1674"/>
    <w:rsid w:val="006F3AB9"/>
    <w:rsid w:val="006F4E91"/>
    <w:rsid w:val="006F5165"/>
    <w:rsid w:val="006F6128"/>
    <w:rsid w:val="006F63D3"/>
    <w:rsid w:val="006F7E25"/>
    <w:rsid w:val="00702F82"/>
    <w:rsid w:val="007042AD"/>
    <w:rsid w:val="007052E3"/>
    <w:rsid w:val="00706D20"/>
    <w:rsid w:val="00710A6C"/>
    <w:rsid w:val="007121F0"/>
    <w:rsid w:val="00713084"/>
    <w:rsid w:val="00714935"/>
    <w:rsid w:val="007149E0"/>
    <w:rsid w:val="007228A0"/>
    <w:rsid w:val="00724ABA"/>
    <w:rsid w:val="00724E24"/>
    <w:rsid w:val="00725636"/>
    <w:rsid w:val="00725735"/>
    <w:rsid w:val="00727A78"/>
    <w:rsid w:val="00727EF9"/>
    <w:rsid w:val="007310D2"/>
    <w:rsid w:val="00735163"/>
    <w:rsid w:val="00735525"/>
    <w:rsid w:val="0073581F"/>
    <w:rsid w:val="00737B0F"/>
    <w:rsid w:val="007465F8"/>
    <w:rsid w:val="00747379"/>
    <w:rsid w:val="00747A9D"/>
    <w:rsid w:val="007527C2"/>
    <w:rsid w:val="00757660"/>
    <w:rsid w:val="00757A8E"/>
    <w:rsid w:val="00765877"/>
    <w:rsid w:val="007671E4"/>
    <w:rsid w:val="007677A1"/>
    <w:rsid w:val="00767AAE"/>
    <w:rsid w:val="00767C35"/>
    <w:rsid w:val="00770147"/>
    <w:rsid w:val="00773221"/>
    <w:rsid w:val="0077345C"/>
    <w:rsid w:val="00774070"/>
    <w:rsid w:val="00775867"/>
    <w:rsid w:val="00776F30"/>
    <w:rsid w:val="00777E96"/>
    <w:rsid w:val="0078056C"/>
    <w:rsid w:val="00780DA8"/>
    <w:rsid w:val="00781DC3"/>
    <w:rsid w:val="00783C18"/>
    <w:rsid w:val="0078403A"/>
    <w:rsid w:val="00785338"/>
    <w:rsid w:val="00785F63"/>
    <w:rsid w:val="00786A30"/>
    <w:rsid w:val="00786A3A"/>
    <w:rsid w:val="00786F73"/>
    <w:rsid w:val="007870B0"/>
    <w:rsid w:val="00791331"/>
    <w:rsid w:val="0079167C"/>
    <w:rsid w:val="007925A7"/>
    <w:rsid w:val="00795238"/>
    <w:rsid w:val="0079731A"/>
    <w:rsid w:val="007A1937"/>
    <w:rsid w:val="007A2046"/>
    <w:rsid w:val="007A2CDB"/>
    <w:rsid w:val="007A2CDC"/>
    <w:rsid w:val="007A43F6"/>
    <w:rsid w:val="007A4C6C"/>
    <w:rsid w:val="007A50C7"/>
    <w:rsid w:val="007A6090"/>
    <w:rsid w:val="007A72AB"/>
    <w:rsid w:val="007B1554"/>
    <w:rsid w:val="007B5494"/>
    <w:rsid w:val="007B5C78"/>
    <w:rsid w:val="007B632E"/>
    <w:rsid w:val="007B6F96"/>
    <w:rsid w:val="007B7EAD"/>
    <w:rsid w:val="007C0BA9"/>
    <w:rsid w:val="007C1DA0"/>
    <w:rsid w:val="007C2597"/>
    <w:rsid w:val="007C2C95"/>
    <w:rsid w:val="007C39E3"/>
    <w:rsid w:val="007C4590"/>
    <w:rsid w:val="007C698A"/>
    <w:rsid w:val="007C72F6"/>
    <w:rsid w:val="007C7A3D"/>
    <w:rsid w:val="007D08FF"/>
    <w:rsid w:val="007D11DB"/>
    <w:rsid w:val="007D1EA0"/>
    <w:rsid w:val="007D55ED"/>
    <w:rsid w:val="007D62EC"/>
    <w:rsid w:val="007D6DC0"/>
    <w:rsid w:val="007E1732"/>
    <w:rsid w:val="007E22FF"/>
    <w:rsid w:val="007E3FDC"/>
    <w:rsid w:val="007E4C1B"/>
    <w:rsid w:val="007E510F"/>
    <w:rsid w:val="007E5556"/>
    <w:rsid w:val="007E7482"/>
    <w:rsid w:val="007F065A"/>
    <w:rsid w:val="007F09D5"/>
    <w:rsid w:val="007F32ED"/>
    <w:rsid w:val="007F67BC"/>
    <w:rsid w:val="007F7B37"/>
    <w:rsid w:val="0080207F"/>
    <w:rsid w:val="00803F95"/>
    <w:rsid w:val="00806BED"/>
    <w:rsid w:val="008078B9"/>
    <w:rsid w:val="00807F68"/>
    <w:rsid w:val="008108E9"/>
    <w:rsid w:val="00811222"/>
    <w:rsid w:val="008114FD"/>
    <w:rsid w:val="00812A0A"/>
    <w:rsid w:val="00812CF6"/>
    <w:rsid w:val="0081333C"/>
    <w:rsid w:val="00820A78"/>
    <w:rsid w:val="008234C7"/>
    <w:rsid w:val="00823662"/>
    <w:rsid w:val="00826479"/>
    <w:rsid w:val="0083340B"/>
    <w:rsid w:val="00833732"/>
    <w:rsid w:val="00835034"/>
    <w:rsid w:val="0084192A"/>
    <w:rsid w:val="00842F18"/>
    <w:rsid w:val="00852682"/>
    <w:rsid w:val="00852A84"/>
    <w:rsid w:val="00853418"/>
    <w:rsid w:val="0085375A"/>
    <w:rsid w:val="00855D04"/>
    <w:rsid w:val="00857AC0"/>
    <w:rsid w:val="00857D0F"/>
    <w:rsid w:val="00861824"/>
    <w:rsid w:val="00863341"/>
    <w:rsid w:val="00863587"/>
    <w:rsid w:val="00867821"/>
    <w:rsid w:val="00871CAF"/>
    <w:rsid w:val="00873D1E"/>
    <w:rsid w:val="00875375"/>
    <w:rsid w:val="00875FD1"/>
    <w:rsid w:val="00876819"/>
    <w:rsid w:val="0087735E"/>
    <w:rsid w:val="008778B2"/>
    <w:rsid w:val="008810BE"/>
    <w:rsid w:val="00881163"/>
    <w:rsid w:val="008825F9"/>
    <w:rsid w:val="00882F5D"/>
    <w:rsid w:val="00883241"/>
    <w:rsid w:val="0088331D"/>
    <w:rsid w:val="0088355D"/>
    <w:rsid w:val="00884024"/>
    <w:rsid w:val="00886C41"/>
    <w:rsid w:val="00887119"/>
    <w:rsid w:val="0088779D"/>
    <w:rsid w:val="00887BD1"/>
    <w:rsid w:val="00887CD6"/>
    <w:rsid w:val="008901DE"/>
    <w:rsid w:val="008918C2"/>
    <w:rsid w:val="00892DCC"/>
    <w:rsid w:val="00895A5E"/>
    <w:rsid w:val="0089610D"/>
    <w:rsid w:val="00897008"/>
    <w:rsid w:val="008A51B0"/>
    <w:rsid w:val="008A660C"/>
    <w:rsid w:val="008A6946"/>
    <w:rsid w:val="008B20BE"/>
    <w:rsid w:val="008B5B6B"/>
    <w:rsid w:val="008B6211"/>
    <w:rsid w:val="008C2C55"/>
    <w:rsid w:val="008C5235"/>
    <w:rsid w:val="008C68CC"/>
    <w:rsid w:val="008D02AA"/>
    <w:rsid w:val="008D1F86"/>
    <w:rsid w:val="008D3AD2"/>
    <w:rsid w:val="008D44A5"/>
    <w:rsid w:val="008D48FF"/>
    <w:rsid w:val="008D4AA1"/>
    <w:rsid w:val="008D4E19"/>
    <w:rsid w:val="008D6475"/>
    <w:rsid w:val="008D7255"/>
    <w:rsid w:val="008E0A89"/>
    <w:rsid w:val="008E329B"/>
    <w:rsid w:val="008E3B34"/>
    <w:rsid w:val="008E4B53"/>
    <w:rsid w:val="008E611E"/>
    <w:rsid w:val="008E7C32"/>
    <w:rsid w:val="008F0E66"/>
    <w:rsid w:val="008F1431"/>
    <w:rsid w:val="008F243B"/>
    <w:rsid w:val="008F3EB3"/>
    <w:rsid w:val="008F52E8"/>
    <w:rsid w:val="008F53CF"/>
    <w:rsid w:val="00900082"/>
    <w:rsid w:val="009023A9"/>
    <w:rsid w:val="009028AF"/>
    <w:rsid w:val="009052E8"/>
    <w:rsid w:val="00906D0F"/>
    <w:rsid w:val="009071CB"/>
    <w:rsid w:val="009076D8"/>
    <w:rsid w:val="00907CE5"/>
    <w:rsid w:val="0091071A"/>
    <w:rsid w:val="00911D47"/>
    <w:rsid w:val="00911FCB"/>
    <w:rsid w:val="0091329A"/>
    <w:rsid w:val="0091770C"/>
    <w:rsid w:val="0091786B"/>
    <w:rsid w:val="0091790F"/>
    <w:rsid w:val="00923CDC"/>
    <w:rsid w:val="009245C1"/>
    <w:rsid w:val="00925B00"/>
    <w:rsid w:val="00925D00"/>
    <w:rsid w:val="0092629D"/>
    <w:rsid w:val="00927883"/>
    <w:rsid w:val="00930668"/>
    <w:rsid w:val="00930921"/>
    <w:rsid w:val="00933A79"/>
    <w:rsid w:val="00933EC3"/>
    <w:rsid w:val="00934067"/>
    <w:rsid w:val="00934BCF"/>
    <w:rsid w:val="00935438"/>
    <w:rsid w:val="009406EB"/>
    <w:rsid w:val="009417E4"/>
    <w:rsid w:val="0094279C"/>
    <w:rsid w:val="00943B73"/>
    <w:rsid w:val="00944C88"/>
    <w:rsid w:val="00944EDA"/>
    <w:rsid w:val="0095093F"/>
    <w:rsid w:val="0095287C"/>
    <w:rsid w:val="00952BA0"/>
    <w:rsid w:val="00955381"/>
    <w:rsid w:val="0095561B"/>
    <w:rsid w:val="0095610A"/>
    <w:rsid w:val="009563F6"/>
    <w:rsid w:val="0095695B"/>
    <w:rsid w:val="00957FD3"/>
    <w:rsid w:val="009605E6"/>
    <w:rsid w:val="00960CE2"/>
    <w:rsid w:val="00961F80"/>
    <w:rsid w:val="00963C1C"/>
    <w:rsid w:val="00964E93"/>
    <w:rsid w:val="0096582B"/>
    <w:rsid w:val="009661B1"/>
    <w:rsid w:val="009671B1"/>
    <w:rsid w:val="00967324"/>
    <w:rsid w:val="0097034D"/>
    <w:rsid w:val="00971E8C"/>
    <w:rsid w:val="0097249B"/>
    <w:rsid w:val="00972BF8"/>
    <w:rsid w:val="009741FF"/>
    <w:rsid w:val="009745C9"/>
    <w:rsid w:val="009746BC"/>
    <w:rsid w:val="00974AE2"/>
    <w:rsid w:val="00975079"/>
    <w:rsid w:val="0097614B"/>
    <w:rsid w:val="009769E9"/>
    <w:rsid w:val="00980352"/>
    <w:rsid w:val="009829E3"/>
    <w:rsid w:val="009846C4"/>
    <w:rsid w:val="00984932"/>
    <w:rsid w:val="009864DB"/>
    <w:rsid w:val="00987A96"/>
    <w:rsid w:val="00990184"/>
    <w:rsid w:val="009930C4"/>
    <w:rsid w:val="00993FA0"/>
    <w:rsid w:val="00996A75"/>
    <w:rsid w:val="009A050F"/>
    <w:rsid w:val="009A2832"/>
    <w:rsid w:val="009A2E15"/>
    <w:rsid w:val="009A4AC8"/>
    <w:rsid w:val="009A4B5F"/>
    <w:rsid w:val="009A564A"/>
    <w:rsid w:val="009A665A"/>
    <w:rsid w:val="009A6B99"/>
    <w:rsid w:val="009A77E4"/>
    <w:rsid w:val="009A7AAF"/>
    <w:rsid w:val="009A7B4A"/>
    <w:rsid w:val="009B163C"/>
    <w:rsid w:val="009B2CCF"/>
    <w:rsid w:val="009B4522"/>
    <w:rsid w:val="009B5429"/>
    <w:rsid w:val="009B57B6"/>
    <w:rsid w:val="009B65B3"/>
    <w:rsid w:val="009C17C2"/>
    <w:rsid w:val="009C3D22"/>
    <w:rsid w:val="009C48E4"/>
    <w:rsid w:val="009C5306"/>
    <w:rsid w:val="009C5CC0"/>
    <w:rsid w:val="009D0754"/>
    <w:rsid w:val="009D1597"/>
    <w:rsid w:val="009D19D3"/>
    <w:rsid w:val="009D37A8"/>
    <w:rsid w:val="009D4302"/>
    <w:rsid w:val="009D49A0"/>
    <w:rsid w:val="009D4FBA"/>
    <w:rsid w:val="009D5CFC"/>
    <w:rsid w:val="009D6297"/>
    <w:rsid w:val="009E1B08"/>
    <w:rsid w:val="009E2431"/>
    <w:rsid w:val="009F148C"/>
    <w:rsid w:val="009F19A2"/>
    <w:rsid w:val="009F1D56"/>
    <w:rsid w:val="009F25F8"/>
    <w:rsid w:val="009F264E"/>
    <w:rsid w:val="009F2B72"/>
    <w:rsid w:val="009F739A"/>
    <w:rsid w:val="00A04B1A"/>
    <w:rsid w:val="00A05826"/>
    <w:rsid w:val="00A060AC"/>
    <w:rsid w:val="00A072EE"/>
    <w:rsid w:val="00A11B15"/>
    <w:rsid w:val="00A13B63"/>
    <w:rsid w:val="00A1765F"/>
    <w:rsid w:val="00A20480"/>
    <w:rsid w:val="00A22824"/>
    <w:rsid w:val="00A25151"/>
    <w:rsid w:val="00A26E2E"/>
    <w:rsid w:val="00A30779"/>
    <w:rsid w:val="00A31F59"/>
    <w:rsid w:val="00A329E4"/>
    <w:rsid w:val="00A3319C"/>
    <w:rsid w:val="00A372E1"/>
    <w:rsid w:val="00A4109D"/>
    <w:rsid w:val="00A4120F"/>
    <w:rsid w:val="00A41B35"/>
    <w:rsid w:val="00A4213C"/>
    <w:rsid w:val="00A4340F"/>
    <w:rsid w:val="00A4432F"/>
    <w:rsid w:val="00A443DE"/>
    <w:rsid w:val="00A4573E"/>
    <w:rsid w:val="00A52A1E"/>
    <w:rsid w:val="00A5688E"/>
    <w:rsid w:val="00A56EEB"/>
    <w:rsid w:val="00A57161"/>
    <w:rsid w:val="00A60469"/>
    <w:rsid w:val="00A60F60"/>
    <w:rsid w:val="00A6108A"/>
    <w:rsid w:val="00A62AC6"/>
    <w:rsid w:val="00A62C21"/>
    <w:rsid w:val="00A630C7"/>
    <w:rsid w:val="00A63AB1"/>
    <w:rsid w:val="00A652DE"/>
    <w:rsid w:val="00A65C76"/>
    <w:rsid w:val="00A65F35"/>
    <w:rsid w:val="00A66ED0"/>
    <w:rsid w:val="00A703FB"/>
    <w:rsid w:val="00A709D6"/>
    <w:rsid w:val="00A7275A"/>
    <w:rsid w:val="00A72D59"/>
    <w:rsid w:val="00A72E20"/>
    <w:rsid w:val="00A72FE9"/>
    <w:rsid w:val="00A73494"/>
    <w:rsid w:val="00A753DA"/>
    <w:rsid w:val="00A75581"/>
    <w:rsid w:val="00A760C6"/>
    <w:rsid w:val="00A778A2"/>
    <w:rsid w:val="00A77C7D"/>
    <w:rsid w:val="00A8071A"/>
    <w:rsid w:val="00A81AF7"/>
    <w:rsid w:val="00A82552"/>
    <w:rsid w:val="00A84101"/>
    <w:rsid w:val="00A84AEE"/>
    <w:rsid w:val="00A861A4"/>
    <w:rsid w:val="00A8629E"/>
    <w:rsid w:val="00A86868"/>
    <w:rsid w:val="00A8690E"/>
    <w:rsid w:val="00A91742"/>
    <w:rsid w:val="00A91928"/>
    <w:rsid w:val="00A924FB"/>
    <w:rsid w:val="00A93F2A"/>
    <w:rsid w:val="00A94C85"/>
    <w:rsid w:val="00A95CD1"/>
    <w:rsid w:val="00A96815"/>
    <w:rsid w:val="00AA0E91"/>
    <w:rsid w:val="00AA2C30"/>
    <w:rsid w:val="00AA50EC"/>
    <w:rsid w:val="00AA6923"/>
    <w:rsid w:val="00AA6C69"/>
    <w:rsid w:val="00AA70D8"/>
    <w:rsid w:val="00AA73F7"/>
    <w:rsid w:val="00AB2235"/>
    <w:rsid w:val="00AB2282"/>
    <w:rsid w:val="00AB4D5D"/>
    <w:rsid w:val="00AB6053"/>
    <w:rsid w:val="00AC00B5"/>
    <w:rsid w:val="00AC04DB"/>
    <w:rsid w:val="00AC118D"/>
    <w:rsid w:val="00AC1E4A"/>
    <w:rsid w:val="00AC28FE"/>
    <w:rsid w:val="00AC2E2C"/>
    <w:rsid w:val="00AC4606"/>
    <w:rsid w:val="00AC4671"/>
    <w:rsid w:val="00AD15D7"/>
    <w:rsid w:val="00AD1F69"/>
    <w:rsid w:val="00AD4BCF"/>
    <w:rsid w:val="00AD6526"/>
    <w:rsid w:val="00AE0595"/>
    <w:rsid w:val="00AE0A23"/>
    <w:rsid w:val="00AE0A7B"/>
    <w:rsid w:val="00AE0D0D"/>
    <w:rsid w:val="00AE1DD0"/>
    <w:rsid w:val="00AE1F69"/>
    <w:rsid w:val="00AE3EC1"/>
    <w:rsid w:val="00AE4B56"/>
    <w:rsid w:val="00AE5DE1"/>
    <w:rsid w:val="00AE5F18"/>
    <w:rsid w:val="00AE6FCD"/>
    <w:rsid w:val="00AE7AB5"/>
    <w:rsid w:val="00AF1058"/>
    <w:rsid w:val="00AF1DF4"/>
    <w:rsid w:val="00AF5F4E"/>
    <w:rsid w:val="00AF639B"/>
    <w:rsid w:val="00AF6B82"/>
    <w:rsid w:val="00AF734B"/>
    <w:rsid w:val="00AF76D3"/>
    <w:rsid w:val="00B00072"/>
    <w:rsid w:val="00B006B5"/>
    <w:rsid w:val="00B01046"/>
    <w:rsid w:val="00B02C65"/>
    <w:rsid w:val="00B037B3"/>
    <w:rsid w:val="00B061B6"/>
    <w:rsid w:val="00B0626D"/>
    <w:rsid w:val="00B06975"/>
    <w:rsid w:val="00B06B4F"/>
    <w:rsid w:val="00B074CA"/>
    <w:rsid w:val="00B15490"/>
    <w:rsid w:val="00B15C05"/>
    <w:rsid w:val="00B177AD"/>
    <w:rsid w:val="00B17F1A"/>
    <w:rsid w:val="00B2163B"/>
    <w:rsid w:val="00B25594"/>
    <w:rsid w:val="00B25D3B"/>
    <w:rsid w:val="00B25DAC"/>
    <w:rsid w:val="00B268E4"/>
    <w:rsid w:val="00B26A27"/>
    <w:rsid w:val="00B304CD"/>
    <w:rsid w:val="00B31685"/>
    <w:rsid w:val="00B32870"/>
    <w:rsid w:val="00B34245"/>
    <w:rsid w:val="00B35084"/>
    <w:rsid w:val="00B41FAF"/>
    <w:rsid w:val="00B427D5"/>
    <w:rsid w:val="00B43AEA"/>
    <w:rsid w:val="00B44BE7"/>
    <w:rsid w:val="00B464F3"/>
    <w:rsid w:val="00B50396"/>
    <w:rsid w:val="00B52FA6"/>
    <w:rsid w:val="00B53870"/>
    <w:rsid w:val="00B53C5F"/>
    <w:rsid w:val="00B54233"/>
    <w:rsid w:val="00B54A4B"/>
    <w:rsid w:val="00B64030"/>
    <w:rsid w:val="00B65AD4"/>
    <w:rsid w:val="00B661BB"/>
    <w:rsid w:val="00B70AE7"/>
    <w:rsid w:val="00B70DA1"/>
    <w:rsid w:val="00B72919"/>
    <w:rsid w:val="00B73245"/>
    <w:rsid w:val="00B7398D"/>
    <w:rsid w:val="00B7439E"/>
    <w:rsid w:val="00B75D3D"/>
    <w:rsid w:val="00B800BC"/>
    <w:rsid w:val="00B81A92"/>
    <w:rsid w:val="00B8266C"/>
    <w:rsid w:val="00B82838"/>
    <w:rsid w:val="00B832DB"/>
    <w:rsid w:val="00B8677E"/>
    <w:rsid w:val="00B87A57"/>
    <w:rsid w:val="00B91E47"/>
    <w:rsid w:val="00B928E0"/>
    <w:rsid w:val="00B933BF"/>
    <w:rsid w:val="00B93E69"/>
    <w:rsid w:val="00B947D0"/>
    <w:rsid w:val="00B962CF"/>
    <w:rsid w:val="00BA2ACA"/>
    <w:rsid w:val="00BA3A56"/>
    <w:rsid w:val="00BA4ADD"/>
    <w:rsid w:val="00BA4BA2"/>
    <w:rsid w:val="00BA4CB7"/>
    <w:rsid w:val="00BA4D49"/>
    <w:rsid w:val="00BA752C"/>
    <w:rsid w:val="00BB0212"/>
    <w:rsid w:val="00BB18E9"/>
    <w:rsid w:val="00BB402A"/>
    <w:rsid w:val="00BB6531"/>
    <w:rsid w:val="00BB6F9D"/>
    <w:rsid w:val="00BB710B"/>
    <w:rsid w:val="00BC3AF4"/>
    <w:rsid w:val="00BC4493"/>
    <w:rsid w:val="00BC5715"/>
    <w:rsid w:val="00BC6993"/>
    <w:rsid w:val="00BC7C4C"/>
    <w:rsid w:val="00BD04A2"/>
    <w:rsid w:val="00BD21C6"/>
    <w:rsid w:val="00BD4288"/>
    <w:rsid w:val="00BD4297"/>
    <w:rsid w:val="00BD73C4"/>
    <w:rsid w:val="00BD7CA6"/>
    <w:rsid w:val="00BD7DFC"/>
    <w:rsid w:val="00BD7F4A"/>
    <w:rsid w:val="00BE00C0"/>
    <w:rsid w:val="00BE1283"/>
    <w:rsid w:val="00BE158C"/>
    <w:rsid w:val="00BE1E95"/>
    <w:rsid w:val="00BE395D"/>
    <w:rsid w:val="00BE6601"/>
    <w:rsid w:val="00BF03BC"/>
    <w:rsid w:val="00BF053C"/>
    <w:rsid w:val="00BF1C9A"/>
    <w:rsid w:val="00BF37C8"/>
    <w:rsid w:val="00BF54F8"/>
    <w:rsid w:val="00BF790F"/>
    <w:rsid w:val="00C0393D"/>
    <w:rsid w:val="00C04AEE"/>
    <w:rsid w:val="00C04E12"/>
    <w:rsid w:val="00C04EBA"/>
    <w:rsid w:val="00C0623D"/>
    <w:rsid w:val="00C075BB"/>
    <w:rsid w:val="00C10A58"/>
    <w:rsid w:val="00C14070"/>
    <w:rsid w:val="00C20A64"/>
    <w:rsid w:val="00C21CCE"/>
    <w:rsid w:val="00C2282C"/>
    <w:rsid w:val="00C25490"/>
    <w:rsid w:val="00C25579"/>
    <w:rsid w:val="00C256C7"/>
    <w:rsid w:val="00C25C8D"/>
    <w:rsid w:val="00C25FD2"/>
    <w:rsid w:val="00C276E2"/>
    <w:rsid w:val="00C27C53"/>
    <w:rsid w:val="00C310ED"/>
    <w:rsid w:val="00C318DF"/>
    <w:rsid w:val="00C3222C"/>
    <w:rsid w:val="00C40114"/>
    <w:rsid w:val="00C4109E"/>
    <w:rsid w:val="00C41472"/>
    <w:rsid w:val="00C425B3"/>
    <w:rsid w:val="00C454A3"/>
    <w:rsid w:val="00C523B6"/>
    <w:rsid w:val="00C541AF"/>
    <w:rsid w:val="00C548C0"/>
    <w:rsid w:val="00C56CC0"/>
    <w:rsid w:val="00C57462"/>
    <w:rsid w:val="00C607CA"/>
    <w:rsid w:val="00C618D3"/>
    <w:rsid w:val="00C61A35"/>
    <w:rsid w:val="00C61ABA"/>
    <w:rsid w:val="00C61D90"/>
    <w:rsid w:val="00C626CE"/>
    <w:rsid w:val="00C6380D"/>
    <w:rsid w:val="00C648E4"/>
    <w:rsid w:val="00C65653"/>
    <w:rsid w:val="00C65B99"/>
    <w:rsid w:val="00C66D91"/>
    <w:rsid w:val="00C7181E"/>
    <w:rsid w:val="00C71B32"/>
    <w:rsid w:val="00C73488"/>
    <w:rsid w:val="00C747F8"/>
    <w:rsid w:val="00C74C5B"/>
    <w:rsid w:val="00C754DD"/>
    <w:rsid w:val="00C75735"/>
    <w:rsid w:val="00C77ECA"/>
    <w:rsid w:val="00C805B6"/>
    <w:rsid w:val="00C811E4"/>
    <w:rsid w:val="00C835F6"/>
    <w:rsid w:val="00C8689F"/>
    <w:rsid w:val="00C86A76"/>
    <w:rsid w:val="00C87BEE"/>
    <w:rsid w:val="00C90C80"/>
    <w:rsid w:val="00C91522"/>
    <w:rsid w:val="00C9323E"/>
    <w:rsid w:val="00C946F8"/>
    <w:rsid w:val="00C9693A"/>
    <w:rsid w:val="00C976DC"/>
    <w:rsid w:val="00CA029A"/>
    <w:rsid w:val="00CA32FE"/>
    <w:rsid w:val="00CA3754"/>
    <w:rsid w:val="00CA44C3"/>
    <w:rsid w:val="00CA4CC4"/>
    <w:rsid w:val="00CA723F"/>
    <w:rsid w:val="00CA7E17"/>
    <w:rsid w:val="00CB0654"/>
    <w:rsid w:val="00CB1FF6"/>
    <w:rsid w:val="00CB4A21"/>
    <w:rsid w:val="00CB50EF"/>
    <w:rsid w:val="00CB558C"/>
    <w:rsid w:val="00CB7171"/>
    <w:rsid w:val="00CB7BB1"/>
    <w:rsid w:val="00CC0A0A"/>
    <w:rsid w:val="00CC26AD"/>
    <w:rsid w:val="00CC4B84"/>
    <w:rsid w:val="00CC58AE"/>
    <w:rsid w:val="00CC6A21"/>
    <w:rsid w:val="00CC7315"/>
    <w:rsid w:val="00CC7B51"/>
    <w:rsid w:val="00CC7C9D"/>
    <w:rsid w:val="00CD02EB"/>
    <w:rsid w:val="00CD229A"/>
    <w:rsid w:val="00CD3826"/>
    <w:rsid w:val="00CD3861"/>
    <w:rsid w:val="00CD4988"/>
    <w:rsid w:val="00CD5A11"/>
    <w:rsid w:val="00CE1972"/>
    <w:rsid w:val="00CE1CB4"/>
    <w:rsid w:val="00CE23C7"/>
    <w:rsid w:val="00CE45AA"/>
    <w:rsid w:val="00CE6184"/>
    <w:rsid w:val="00CF29BF"/>
    <w:rsid w:val="00CF2C11"/>
    <w:rsid w:val="00CF2FFA"/>
    <w:rsid w:val="00CF3095"/>
    <w:rsid w:val="00CF3EFC"/>
    <w:rsid w:val="00CF6B66"/>
    <w:rsid w:val="00D02F8F"/>
    <w:rsid w:val="00D0423C"/>
    <w:rsid w:val="00D0508F"/>
    <w:rsid w:val="00D10F61"/>
    <w:rsid w:val="00D125C0"/>
    <w:rsid w:val="00D12A00"/>
    <w:rsid w:val="00D13E2C"/>
    <w:rsid w:val="00D14B72"/>
    <w:rsid w:val="00D14CA0"/>
    <w:rsid w:val="00D15786"/>
    <w:rsid w:val="00D15944"/>
    <w:rsid w:val="00D16CC3"/>
    <w:rsid w:val="00D17388"/>
    <w:rsid w:val="00D20F10"/>
    <w:rsid w:val="00D22952"/>
    <w:rsid w:val="00D23662"/>
    <w:rsid w:val="00D2390D"/>
    <w:rsid w:val="00D247DD"/>
    <w:rsid w:val="00D24F91"/>
    <w:rsid w:val="00D2511B"/>
    <w:rsid w:val="00D27E24"/>
    <w:rsid w:val="00D30561"/>
    <w:rsid w:val="00D30DD6"/>
    <w:rsid w:val="00D31630"/>
    <w:rsid w:val="00D339C9"/>
    <w:rsid w:val="00D34BDD"/>
    <w:rsid w:val="00D35BA1"/>
    <w:rsid w:val="00D36BFA"/>
    <w:rsid w:val="00D372CF"/>
    <w:rsid w:val="00D40F97"/>
    <w:rsid w:val="00D46D89"/>
    <w:rsid w:val="00D47059"/>
    <w:rsid w:val="00D47581"/>
    <w:rsid w:val="00D47701"/>
    <w:rsid w:val="00D47D53"/>
    <w:rsid w:val="00D546E8"/>
    <w:rsid w:val="00D5668E"/>
    <w:rsid w:val="00D63786"/>
    <w:rsid w:val="00D661EA"/>
    <w:rsid w:val="00D70419"/>
    <w:rsid w:val="00D70577"/>
    <w:rsid w:val="00D7191F"/>
    <w:rsid w:val="00D72E8A"/>
    <w:rsid w:val="00D73649"/>
    <w:rsid w:val="00D741CE"/>
    <w:rsid w:val="00D75099"/>
    <w:rsid w:val="00D81829"/>
    <w:rsid w:val="00D8412B"/>
    <w:rsid w:val="00D84448"/>
    <w:rsid w:val="00D862AD"/>
    <w:rsid w:val="00D87202"/>
    <w:rsid w:val="00D9181D"/>
    <w:rsid w:val="00D94726"/>
    <w:rsid w:val="00D96B74"/>
    <w:rsid w:val="00D97B83"/>
    <w:rsid w:val="00DA0952"/>
    <w:rsid w:val="00DA0FCE"/>
    <w:rsid w:val="00DA1860"/>
    <w:rsid w:val="00DA33EA"/>
    <w:rsid w:val="00DA45CC"/>
    <w:rsid w:val="00DA549A"/>
    <w:rsid w:val="00DA55D0"/>
    <w:rsid w:val="00DA6B3A"/>
    <w:rsid w:val="00DA6F6A"/>
    <w:rsid w:val="00DB1E75"/>
    <w:rsid w:val="00DB37F6"/>
    <w:rsid w:val="00DB3E20"/>
    <w:rsid w:val="00DB45BC"/>
    <w:rsid w:val="00DC1252"/>
    <w:rsid w:val="00DC4C52"/>
    <w:rsid w:val="00DC5B36"/>
    <w:rsid w:val="00DC64BF"/>
    <w:rsid w:val="00DC66AB"/>
    <w:rsid w:val="00DC7A42"/>
    <w:rsid w:val="00DD1E18"/>
    <w:rsid w:val="00DD3409"/>
    <w:rsid w:val="00DD37E4"/>
    <w:rsid w:val="00DD39D2"/>
    <w:rsid w:val="00DD5B23"/>
    <w:rsid w:val="00DE0DB1"/>
    <w:rsid w:val="00DE42D0"/>
    <w:rsid w:val="00DE5419"/>
    <w:rsid w:val="00DE63FB"/>
    <w:rsid w:val="00DE7154"/>
    <w:rsid w:val="00DE7270"/>
    <w:rsid w:val="00DF33B8"/>
    <w:rsid w:val="00DF42A4"/>
    <w:rsid w:val="00DF4A91"/>
    <w:rsid w:val="00DF563A"/>
    <w:rsid w:val="00DF6455"/>
    <w:rsid w:val="00DF777F"/>
    <w:rsid w:val="00DF7DBB"/>
    <w:rsid w:val="00E01349"/>
    <w:rsid w:val="00E01B14"/>
    <w:rsid w:val="00E03311"/>
    <w:rsid w:val="00E0354B"/>
    <w:rsid w:val="00E04407"/>
    <w:rsid w:val="00E0497E"/>
    <w:rsid w:val="00E05708"/>
    <w:rsid w:val="00E060EC"/>
    <w:rsid w:val="00E113AD"/>
    <w:rsid w:val="00E11991"/>
    <w:rsid w:val="00E11F9D"/>
    <w:rsid w:val="00E126DE"/>
    <w:rsid w:val="00E13A8A"/>
    <w:rsid w:val="00E13C51"/>
    <w:rsid w:val="00E161BD"/>
    <w:rsid w:val="00E16902"/>
    <w:rsid w:val="00E23F99"/>
    <w:rsid w:val="00E25EA9"/>
    <w:rsid w:val="00E27DEA"/>
    <w:rsid w:val="00E3190E"/>
    <w:rsid w:val="00E32319"/>
    <w:rsid w:val="00E32648"/>
    <w:rsid w:val="00E330F7"/>
    <w:rsid w:val="00E3570A"/>
    <w:rsid w:val="00E35D56"/>
    <w:rsid w:val="00E41F50"/>
    <w:rsid w:val="00E44699"/>
    <w:rsid w:val="00E44DFE"/>
    <w:rsid w:val="00E451BD"/>
    <w:rsid w:val="00E50B41"/>
    <w:rsid w:val="00E521CC"/>
    <w:rsid w:val="00E523E0"/>
    <w:rsid w:val="00E52719"/>
    <w:rsid w:val="00E529DA"/>
    <w:rsid w:val="00E556C0"/>
    <w:rsid w:val="00E5577C"/>
    <w:rsid w:val="00E56F76"/>
    <w:rsid w:val="00E57288"/>
    <w:rsid w:val="00E622DF"/>
    <w:rsid w:val="00E62B35"/>
    <w:rsid w:val="00E62EEF"/>
    <w:rsid w:val="00E62F68"/>
    <w:rsid w:val="00E63F28"/>
    <w:rsid w:val="00E6479B"/>
    <w:rsid w:val="00E64D09"/>
    <w:rsid w:val="00E66EBC"/>
    <w:rsid w:val="00E675C6"/>
    <w:rsid w:val="00E679C8"/>
    <w:rsid w:val="00E70F92"/>
    <w:rsid w:val="00E73B19"/>
    <w:rsid w:val="00E77880"/>
    <w:rsid w:val="00E77E67"/>
    <w:rsid w:val="00E81C60"/>
    <w:rsid w:val="00E8476C"/>
    <w:rsid w:val="00E863C3"/>
    <w:rsid w:val="00E877EC"/>
    <w:rsid w:val="00E879E2"/>
    <w:rsid w:val="00E94A59"/>
    <w:rsid w:val="00EA2B17"/>
    <w:rsid w:val="00EA4424"/>
    <w:rsid w:val="00EA50C1"/>
    <w:rsid w:val="00EA7745"/>
    <w:rsid w:val="00EB099C"/>
    <w:rsid w:val="00EB136F"/>
    <w:rsid w:val="00EB2B70"/>
    <w:rsid w:val="00EB2BC2"/>
    <w:rsid w:val="00EB39A4"/>
    <w:rsid w:val="00EB3EB5"/>
    <w:rsid w:val="00EB78AD"/>
    <w:rsid w:val="00EC0028"/>
    <w:rsid w:val="00EC16F0"/>
    <w:rsid w:val="00EC1E69"/>
    <w:rsid w:val="00EC20C8"/>
    <w:rsid w:val="00EC26C9"/>
    <w:rsid w:val="00ED2396"/>
    <w:rsid w:val="00ED4C8A"/>
    <w:rsid w:val="00ED6350"/>
    <w:rsid w:val="00EE0E3E"/>
    <w:rsid w:val="00EE1CE2"/>
    <w:rsid w:val="00EE5A17"/>
    <w:rsid w:val="00EE5EC8"/>
    <w:rsid w:val="00EF1AE5"/>
    <w:rsid w:val="00EF27D3"/>
    <w:rsid w:val="00EF2D02"/>
    <w:rsid w:val="00EF3D69"/>
    <w:rsid w:val="00EF497C"/>
    <w:rsid w:val="00EF7C5D"/>
    <w:rsid w:val="00F00BDD"/>
    <w:rsid w:val="00F00FB2"/>
    <w:rsid w:val="00F015B5"/>
    <w:rsid w:val="00F01669"/>
    <w:rsid w:val="00F04189"/>
    <w:rsid w:val="00F04D0E"/>
    <w:rsid w:val="00F06BF3"/>
    <w:rsid w:val="00F07E19"/>
    <w:rsid w:val="00F138D2"/>
    <w:rsid w:val="00F15E06"/>
    <w:rsid w:val="00F16106"/>
    <w:rsid w:val="00F16268"/>
    <w:rsid w:val="00F163B2"/>
    <w:rsid w:val="00F16B06"/>
    <w:rsid w:val="00F215FB"/>
    <w:rsid w:val="00F22F36"/>
    <w:rsid w:val="00F237C2"/>
    <w:rsid w:val="00F24591"/>
    <w:rsid w:val="00F27479"/>
    <w:rsid w:val="00F2786E"/>
    <w:rsid w:val="00F27D40"/>
    <w:rsid w:val="00F308A6"/>
    <w:rsid w:val="00F31148"/>
    <w:rsid w:val="00F33314"/>
    <w:rsid w:val="00F3598C"/>
    <w:rsid w:val="00F418E6"/>
    <w:rsid w:val="00F43C0A"/>
    <w:rsid w:val="00F43E15"/>
    <w:rsid w:val="00F50049"/>
    <w:rsid w:val="00F50647"/>
    <w:rsid w:val="00F5119A"/>
    <w:rsid w:val="00F52625"/>
    <w:rsid w:val="00F53583"/>
    <w:rsid w:val="00F5664F"/>
    <w:rsid w:val="00F5742D"/>
    <w:rsid w:val="00F6083F"/>
    <w:rsid w:val="00F61330"/>
    <w:rsid w:val="00F61385"/>
    <w:rsid w:val="00F62FD5"/>
    <w:rsid w:val="00F64AB6"/>
    <w:rsid w:val="00F655A2"/>
    <w:rsid w:val="00F67A8A"/>
    <w:rsid w:val="00F67B34"/>
    <w:rsid w:val="00F73881"/>
    <w:rsid w:val="00F739C5"/>
    <w:rsid w:val="00F74875"/>
    <w:rsid w:val="00F74BC3"/>
    <w:rsid w:val="00F75596"/>
    <w:rsid w:val="00F75CC2"/>
    <w:rsid w:val="00F75F71"/>
    <w:rsid w:val="00F80C6D"/>
    <w:rsid w:val="00F80F60"/>
    <w:rsid w:val="00F81C7D"/>
    <w:rsid w:val="00F81E26"/>
    <w:rsid w:val="00F8244F"/>
    <w:rsid w:val="00F82E01"/>
    <w:rsid w:val="00F83C3E"/>
    <w:rsid w:val="00F85FEB"/>
    <w:rsid w:val="00F87425"/>
    <w:rsid w:val="00F90E96"/>
    <w:rsid w:val="00F93162"/>
    <w:rsid w:val="00F93D36"/>
    <w:rsid w:val="00F93DE5"/>
    <w:rsid w:val="00F94AC4"/>
    <w:rsid w:val="00F95D0C"/>
    <w:rsid w:val="00F96047"/>
    <w:rsid w:val="00F96A4F"/>
    <w:rsid w:val="00FA0AF7"/>
    <w:rsid w:val="00FA194E"/>
    <w:rsid w:val="00FA2322"/>
    <w:rsid w:val="00FA23AD"/>
    <w:rsid w:val="00FA52BD"/>
    <w:rsid w:val="00FA77E6"/>
    <w:rsid w:val="00FB081C"/>
    <w:rsid w:val="00FB2078"/>
    <w:rsid w:val="00FB482E"/>
    <w:rsid w:val="00FB524A"/>
    <w:rsid w:val="00FB53DB"/>
    <w:rsid w:val="00FB5AA2"/>
    <w:rsid w:val="00FB5AD2"/>
    <w:rsid w:val="00FB6535"/>
    <w:rsid w:val="00FC0A60"/>
    <w:rsid w:val="00FC16F9"/>
    <w:rsid w:val="00FC3EB7"/>
    <w:rsid w:val="00FC409A"/>
    <w:rsid w:val="00FC467C"/>
    <w:rsid w:val="00FC54CD"/>
    <w:rsid w:val="00FC5C9B"/>
    <w:rsid w:val="00FC7BB2"/>
    <w:rsid w:val="00FD00EB"/>
    <w:rsid w:val="00FD1A35"/>
    <w:rsid w:val="00FD2651"/>
    <w:rsid w:val="00FD276F"/>
    <w:rsid w:val="00FD404B"/>
    <w:rsid w:val="00FD6453"/>
    <w:rsid w:val="00FD6C14"/>
    <w:rsid w:val="00FD6E2E"/>
    <w:rsid w:val="00FE0D62"/>
    <w:rsid w:val="00FE2487"/>
    <w:rsid w:val="00FE43F8"/>
    <w:rsid w:val="00FE5D19"/>
    <w:rsid w:val="00FE74EC"/>
    <w:rsid w:val="00FE7BB4"/>
    <w:rsid w:val="00FF13CC"/>
    <w:rsid w:val="00FF150D"/>
    <w:rsid w:val="00FF1D7F"/>
    <w:rsid w:val="00FF5B0B"/>
    <w:rsid w:val="00FF7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7EF62"/>
  <w15:docId w15:val="{5EA9102B-2A9E-4922-BFB7-56918801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fn,FT,ft,SD Footnote Text,Footnote Text AG,Footnote Text Char Char,Footnote,Footnote text,Footnote Text Blue,Footnote Text Char Char Char Char Char Char,Footnote Text Char Char Char Char Char,- OP,f"/>
    <w:basedOn w:val="prastasis"/>
    <w:link w:val="PuslapioinaostekstasDiagrama"/>
    <w:uiPriority w:val="99"/>
    <w:qFormat/>
    <w:rsid w:val="00A62C21"/>
    <w:rPr>
      <w:sz w:val="20"/>
      <w:szCs w:val="20"/>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Times 10 Point"/>
    <w:uiPriority w:val="99"/>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qFormat/>
    <w:rsid w:val="00AE1DD0"/>
    <w:rPr>
      <w:sz w:val="20"/>
      <w:szCs w:val="20"/>
      <w:lang w:eastAsia="x-none"/>
    </w:rPr>
  </w:style>
  <w:style w:type="character" w:customStyle="1" w:styleId="KomentarotekstasDiagrama">
    <w:name w:val="Komentaro tekstas Diagrama"/>
    <w:link w:val="Komentarotekstas"/>
    <w:uiPriority w:val="99"/>
    <w:qFormat/>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aliases w:val="List Paragraph Red,ERP-List Paragraph,List Paragraph11,Bullet EY,List Paragraph1,Table of contents numbered,Gaia List Paragraph,Numbering,List Paragraph2,Paragraphe de liste 2,Reference list,Normal bullet 2,Numbered List"/>
    <w:basedOn w:val="prastasis"/>
    <w:link w:val="SraopastraipaDiagrama"/>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character" w:customStyle="1" w:styleId="PuslapioinaostekstasDiagrama">
    <w:name w:val="Puslapio išnašos tekstas Diagrama"/>
    <w:aliases w:val="fn Diagrama,FT Diagrama,ft Diagrama,SD Footnote Text Diagrama,Footnote Text AG Diagrama,Footnote Text Char Char Diagrama,Footnote Diagrama,Footnote text Diagrama,Footnote Text Blue Diagrama,- OP Diagrama,f Diagrama"/>
    <w:basedOn w:val="Numatytasispastraiposriftas"/>
    <w:link w:val="Puslapioinaostekstas"/>
    <w:uiPriority w:val="99"/>
    <w:rsid w:val="00F5119A"/>
    <w:rPr>
      <w:lang w:eastAsia="en-US"/>
    </w:rPr>
  </w:style>
  <w:style w:type="paragraph" w:customStyle="1" w:styleId="KC-EYtext">
    <w:name w:val="KC - EY text"/>
    <w:basedOn w:val="prastasis"/>
    <w:link w:val="KC-EYtextChar"/>
    <w:qFormat/>
    <w:rsid w:val="00F5119A"/>
    <w:pPr>
      <w:adjustRightInd w:val="0"/>
      <w:spacing w:before="120" w:after="120" w:line="260" w:lineRule="atLeast"/>
      <w:jc w:val="both"/>
      <w:textAlignment w:val="baseline"/>
    </w:pPr>
    <w:rPr>
      <w:rFonts w:ascii="Arial" w:hAnsi="Arial"/>
      <w:kern w:val="12"/>
      <w:sz w:val="22"/>
      <w:lang w:eastAsia="lt-LT"/>
    </w:rPr>
  </w:style>
  <w:style w:type="character" w:customStyle="1" w:styleId="KC-EYtextChar">
    <w:name w:val="KC - EY text Char"/>
    <w:basedOn w:val="Numatytasispastraiposriftas"/>
    <w:link w:val="KC-EYtext"/>
    <w:rsid w:val="00F5119A"/>
    <w:rPr>
      <w:rFonts w:ascii="Arial" w:hAnsi="Arial"/>
      <w:kern w:val="12"/>
      <w:sz w:val="22"/>
      <w:szCs w:val="24"/>
    </w:rPr>
  </w:style>
  <w:style w:type="table" w:styleId="Lentelstinklelis">
    <w:name w:val="Table Grid"/>
    <w:basedOn w:val="prastojilentel"/>
    <w:uiPriority w:val="39"/>
    <w:rsid w:val="00086FC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ribullet1lvl">
    <w:name w:val="Geri bullet_1lvl"/>
    <w:basedOn w:val="prastasis"/>
    <w:link w:val="Geribullet1lvlChar"/>
    <w:qFormat/>
    <w:rsid w:val="00086FCE"/>
    <w:pPr>
      <w:numPr>
        <w:ilvl w:val="1"/>
        <w:numId w:val="8"/>
      </w:numPr>
      <w:overflowPunct w:val="0"/>
      <w:autoSpaceDE w:val="0"/>
      <w:autoSpaceDN w:val="0"/>
      <w:adjustRightInd w:val="0"/>
      <w:jc w:val="both"/>
      <w:textAlignment w:val="baseline"/>
    </w:pPr>
    <w:rPr>
      <w:rFonts w:ascii="Arial" w:eastAsia="SimSun" w:hAnsi="Arial" w:cs="Arial"/>
      <w:sz w:val="22"/>
      <w:szCs w:val="20"/>
    </w:rPr>
  </w:style>
  <w:style w:type="paragraph" w:customStyle="1" w:styleId="2lvlgeribulletai">
    <w:name w:val="2 lvl geri bulletai"/>
    <w:basedOn w:val="prastasis"/>
    <w:qFormat/>
    <w:rsid w:val="00086FCE"/>
    <w:pPr>
      <w:numPr>
        <w:numId w:val="8"/>
      </w:numPr>
      <w:overflowPunct w:val="0"/>
      <w:autoSpaceDE w:val="0"/>
      <w:autoSpaceDN w:val="0"/>
      <w:adjustRightInd w:val="0"/>
      <w:jc w:val="both"/>
      <w:textAlignment w:val="baseline"/>
    </w:pPr>
    <w:rPr>
      <w:rFonts w:ascii="EYInterstate Light" w:eastAsia="SimSun" w:hAnsi="EYInterstate Light" w:cs="Arial"/>
      <w:sz w:val="22"/>
      <w:szCs w:val="20"/>
    </w:rPr>
  </w:style>
  <w:style w:type="character" w:customStyle="1" w:styleId="Geribullet1lvlChar">
    <w:name w:val="Geri bullet_1lvl Char"/>
    <w:link w:val="Geribullet1lvl"/>
    <w:rsid w:val="00086FCE"/>
    <w:rPr>
      <w:rFonts w:ascii="Arial" w:eastAsia="SimSun" w:hAnsi="Arial" w:cs="Arial"/>
      <w:sz w:val="22"/>
      <w:lang w:eastAsia="en-US"/>
    </w:rPr>
  </w:style>
  <w:style w:type="paragraph" w:styleId="Pataisymai">
    <w:name w:val="Revision"/>
    <w:hidden/>
    <w:uiPriority w:val="99"/>
    <w:semiHidden/>
    <w:rsid w:val="005B1137"/>
    <w:rPr>
      <w:sz w:val="24"/>
      <w:szCs w:val="24"/>
      <w:lang w:eastAsia="en-US"/>
    </w:rPr>
  </w:style>
  <w:style w:type="character" w:customStyle="1" w:styleId="SraopastraipaDiagrama">
    <w:name w:val="Sąrašo pastraipa Diagrama"/>
    <w:aliases w:val="List Paragraph Red Diagrama,ERP-List Paragraph Diagrama,List Paragraph11 Diagrama,Bullet EY Diagrama,List Paragraph1 Diagrama,Table of contents numbered Diagrama,Gaia List Paragraph Diagrama,Numbering Diagrama"/>
    <w:link w:val="Sraopastraipa"/>
    <w:uiPriority w:val="34"/>
    <w:qFormat/>
    <w:locked/>
    <w:rsid w:val="00AC04DB"/>
    <w:rPr>
      <w:sz w:val="24"/>
      <w:szCs w:val="24"/>
      <w:lang w:eastAsia="en-US"/>
    </w:rPr>
  </w:style>
  <w:style w:type="character" w:customStyle="1" w:styleId="cf01">
    <w:name w:val="cf01"/>
    <w:basedOn w:val="Numatytasispastraiposriftas"/>
    <w:rsid w:val="00503BF0"/>
    <w:rPr>
      <w:rFonts w:ascii="Segoe UI" w:hAnsi="Segoe UI" w:cs="Segoe UI" w:hint="default"/>
      <w:sz w:val="18"/>
      <w:szCs w:val="18"/>
    </w:rPr>
  </w:style>
  <w:style w:type="paragraph" w:customStyle="1" w:styleId="xxmsonormal">
    <w:name w:val="x_x_msonormal"/>
    <w:basedOn w:val="prastasis"/>
    <w:rsid w:val="001B218C"/>
    <w:pPr>
      <w:spacing w:before="100" w:beforeAutospacing="1" w:after="100" w:afterAutospacing="1"/>
    </w:pPr>
    <w:rPr>
      <w:lang w:eastAsia="lt-LT"/>
    </w:rPr>
  </w:style>
  <w:style w:type="paragraph" w:customStyle="1" w:styleId="xmsonormal">
    <w:name w:val="x_msonormal"/>
    <w:basedOn w:val="prastasis"/>
    <w:rsid w:val="005A402C"/>
    <w:pPr>
      <w:spacing w:before="100" w:beforeAutospacing="1" w:after="100" w:afterAutospacing="1"/>
    </w:pPr>
    <w:rPr>
      <w:lang w:eastAsia="lt-LT"/>
    </w:rPr>
  </w:style>
  <w:style w:type="character" w:customStyle="1" w:styleId="fontstyle55">
    <w:name w:val="fontstyle55"/>
    <w:basedOn w:val="Numatytasispastraiposriftas"/>
    <w:rsid w:val="00D0423C"/>
  </w:style>
  <w:style w:type="character" w:customStyle="1" w:styleId="ui-provider">
    <w:name w:val="ui-provider"/>
    <w:basedOn w:val="Numatytasispastraiposriftas"/>
    <w:rsid w:val="00E3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65">
      <w:bodyDiv w:val="1"/>
      <w:marLeft w:val="0"/>
      <w:marRight w:val="0"/>
      <w:marTop w:val="0"/>
      <w:marBottom w:val="0"/>
      <w:divBdr>
        <w:top w:val="none" w:sz="0" w:space="0" w:color="auto"/>
        <w:left w:val="none" w:sz="0" w:space="0" w:color="auto"/>
        <w:bottom w:val="none" w:sz="0" w:space="0" w:color="auto"/>
        <w:right w:val="none" w:sz="0" w:space="0" w:color="auto"/>
      </w:divBdr>
    </w:div>
    <w:div w:id="55472803">
      <w:bodyDiv w:val="1"/>
      <w:marLeft w:val="0"/>
      <w:marRight w:val="0"/>
      <w:marTop w:val="0"/>
      <w:marBottom w:val="0"/>
      <w:divBdr>
        <w:top w:val="none" w:sz="0" w:space="0" w:color="auto"/>
        <w:left w:val="none" w:sz="0" w:space="0" w:color="auto"/>
        <w:bottom w:val="none" w:sz="0" w:space="0" w:color="auto"/>
        <w:right w:val="none" w:sz="0" w:space="0" w:color="auto"/>
      </w:divBdr>
    </w:div>
    <w:div w:id="7656045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96496778">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839510">
      <w:bodyDiv w:val="1"/>
      <w:marLeft w:val="0"/>
      <w:marRight w:val="0"/>
      <w:marTop w:val="0"/>
      <w:marBottom w:val="0"/>
      <w:divBdr>
        <w:top w:val="none" w:sz="0" w:space="0" w:color="auto"/>
        <w:left w:val="none" w:sz="0" w:space="0" w:color="auto"/>
        <w:bottom w:val="none" w:sz="0" w:space="0" w:color="auto"/>
        <w:right w:val="none" w:sz="0" w:space="0" w:color="auto"/>
      </w:divBdr>
    </w:div>
    <w:div w:id="340275810">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46251035">
      <w:bodyDiv w:val="1"/>
      <w:marLeft w:val="0"/>
      <w:marRight w:val="0"/>
      <w:marTop w:val="0"/>
      <w:marBottom w:val="0"/>
      <w:divBdr>
        <w:top w:val="none" w:sz="0" w:space="0" w:color="auto"/>
        <w:left w:val="none" w:sz="0" w:space="0" w:color="auto"/>
        <w:bottom w:val="none" w:sz="0" w:space="0" w:color="auto"/>
        <w:right w:val="none" w:sz="0" w:space="0" w:color="auto"/>
      </w:divBdr>
    </w:div>
    <w:div w:id="75740818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087389499">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126709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8208">
      <w:bodyDiv w:val="1"/>
      <w:marLeft w:val="0"/>
      <w:marRight w:val="0"/>
      <w:marTop w:val="0"/>
      <w:marBottom w:val="0"/>
      <w:divBdr>
        <w:top w:val="none" w:sz="0" w:space="0" w:color="auto"/>
        <w:left w:val="none" w:sz="0" w:space="0" w:color="auto"/>
        <w:bottom w:val="none" w:sz="0" w:space="0" w:color="auto"/>
        <w:right w:val="none" w:sz="0" w:space="0" w:color="auto"/>
      </w:divBdr>
    </w:div>
    <w:div w:id="1356999912">
      <w:bodyDiv w:val="1"/>
      <w:marLeft w:val="0"/>
      <w:marRight w:val="0"/>
      <w:marTop w:val="0"/>
      <w:marBottom w:val="0"/>
      <w:divBdr>
        <w:top w:val="none" w:sz="0" w:space="0" w:color="auto"/>
        <w:left w:val="none" w:sz="0" w:space="0" w:color="auto"/>
        <w:bottom w:val="none" w:sz="0" w:space="0" w:color="auto"/>
        <w:right w:val="none" w:sz="0" w:space="0" w:color="auto"/>
      </w:divBdr>
    </w:div>
    <w:div w:id="1431583740">
      <w:bodyDiv w:val="1"/>
      <w:marLeft w:val="0"/>
      <w:marRight w:val="0"/>
      <w:marTop w:val="0"/>
      <w:marBottom w:val="0"/>
      <w:divBdr>
        <w:top w:val="none" w:sz="0" w:space="0" w:color="auto"/>
        <w:left w:val="none" w:sz="0" w:space="0" w:color="auto"/>
        <w:bottom w:val="none" w:sz="0" w:space="0" w:color="auto"/>
        <w:right w:val="none" w:sz="0" w:space="0" w:color="auto"/>
      </w:divBdr>
    </w:div>
    <w:div w:id="152679563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78844240">
      <w:bodyDiv w:val="1"/>
      <w:marLeft w:val="0"/>
      <w:marRight w:val="0"/>
      <w:marTop w:val="0"/>
      <w:marBottom w:val="0"/>
      <w:divBdr>
        <w:top w:val="none" w:sz="0" w:space="0" w:color="auto"/>
        <w:left w:val="none" w:sz="0" w:space="0" w:color="auto"/>
        <w:bottom w:val="none" w:sz="0" w:space="0" w:color="auto"/>
        <w:right w:val="none" w:sz="0" w:space="0" w:color="auto"/>
      </w:divBdr>
    </w:div>
    <w:div w:id="1683238251">
      <w:bodyDiv w:val="1"/>
      <w:marLeft w:val="0"/>
      <w:marRight w:val="0"/>
      <w:marTop w:val="0"/>
      <w:marBottom w:val="0"/>
      <w:divBdr>
        <w:top w:val="none" w:sz="0" w:space="0" w:color="auto"/>
        <w:left w:val="none" w:sz="0" w:space="0" w:color="auto"/>
        <w:bottom w:val="none" w:sz="0" w:space="0" w:color="auto"/>
        <w:right w:val="none" w:sz="0" w:space="0" w:color="auto"/>
      </w:divBdr>
      <w:divsChild>
        <w:div w:id="1488322775">
          <w:marLeft w:val="0"/>
          <w:marRight w:val="0"/>
          <w:marTop w:val="0"/>
          <w:marBottom w:val="0"/>
          <w:divBdr>
            <w:top w:val="none" w:sz="0" w:space="0" w:color="auto"/>
            <w:left w:val="none" w:sz="0" w:space="0" w:color="auto"/>
            <w:bottom w:val="none" w:sz="0" w:space="0" w:color="auto"/>
            <w:right w:val="none" w:sz="0" w:space="0" w:color="auto"/>
          </w:divBdr>
          <w:divsChild>
            <w:div w:id="775714393">
              <w:marLeft w:val="0"/>
              <w:marRight w:val="0"/>
              <w:marTop w:val="0"/>
              <w:marBottom w:val="0"/>
              <w:divBdr>
                <w:top w:val="none" w:sz="0" w:space="0" w:color="auto"/>
                <w:left w:val="none" w:sz="0" w:space="0" w:color="auto"/>
                <w:bottom w:val="none" w:sz="0" w:space="0" w:color="auto"/>
                <w:right w:val="none" w:sz="0" w:space="0" w:color="auto"/>
              </w:divBdr>
            </w:div>
            <w:div w:id="1788964195">
              <w:marLeft w:val="0"/>
              <w:marRight w:val="0"/>
              <w:marTop w:val="0"/>
              <w:marBottom w:val="0"/>
              <w:divBdr>
                <w:top w:val="none" w:sz="0" w:space="0" w:color="auto"/>
                <w:left w:val="none" w:sz="0" w:space="0" w:color="auto"/>
                <w:bottom w:val="none" w:sz="0" w:space="0" w:color="auto"/>
                <w:right w:val="none" w:sz="0" w:space="0" w:color="auto"/>
              </w:divBdr>
            </w:div>
            <w:div w:id="99228909">
              <w:marLeft w:val="0"/>
              <w:marRight w:val="0"/>
              <w:marTop w:val="0"/>
              <w:marBottom w:val="0"/>
              <w:divBdr>
                <w:top w:val="none" w:sz="0" w:space="0" w:color="auto"/>
                <w:left w:val="none" w:sz="0" w:space="0" w:color="auto"/>
                <w:bottom w:val="none" w:sz="0" w:space="0" w:color="auto"/>
                <w:right w:val="none" w:sz="0" w:space="0" w:color="auto"/>
              </w:divBdr>
            </w:div>
            <w:div w:id="1163736785">
              <w:marLeft w:val="0"/>
              <w:marRight w:val="0"/>
              <w:marTop w:val="0"/>
              <w:marBottom w:val="0"/>
              <w:divBdr>
                <w:top w:val="none" w:sz="0" w:space="0" w:color="auto"/>
                <w:left w:val="none" w:sz="0" w:space="0" w:color="auto"/>
                <w:bottom w:val="none" w:sz="0" w:space="0" w:color="auto"/>
                <w:right w:val="none" w:sz="0" w:space="0" w:color="auto"/>
              </w:divBdr>
            </w:div>
            <w:div w:id="5913071">
              <w:marLeft w:val="0"/>
              <w:marRight w:val="0"/>
              <w:marTop w:val="0"/>
              <w:marBottom w:val="0"/>
              <w:divBdr>
                <w:top w:val="none" w:sz="0" w:space="0" w:color="auto"/>
                <w:left w:val="none" w:sz="0" w:space="0" w:color="auto"/>
                <w:bottom w:val="none" w:sz="0" w:space="0" w:color="auto"/>
                <w:right w:val="none" w:sz="0" w:space="0" w:color="auto"/>
              </w:divBdr>
            </w:div>
            <w:div w:id="330833962">
              <w:marLeft w:val="0"/>
              <w:marRight w:val="0"/>
              <w:marTop w:val="0"/>
              <w:marBottom w:val="0"/>
              <w:divBdr>
                <w:top w:val="none" w:sz="0" w:space="0" w:color="auto"/>
                <w:left w:val="none" w:sz="0" w:space="0" w:color="auto"/>
                <w:bottom w:val="none" w:sz="0" w:space="0" w:color="auto"/>
                <w:right w:val="none" w:sz="0" w:space="0" w:color="auto"/>
              </w:divBdr>
            </w:div>
            <w:div w:id="66735649">
              <w:marLeft w:val="0"/>
              <w:marRight w:val="0"/>
              <w:marTop w:val="0"/>
              <w:marBottom w:val="0"/>
              <w:divBdr>
                <w:top w:val="none" w:sz="0" w:space="0" w:color="auto"/>
                <w:left w:val="none" w:sz="0" w:space="0" w:color="auto"/>
                <w:bottom w:val="none" w:sz="0" w:space="0" w:color="auto"/>
                <w:right w:val="none" w:sz="0" w:space="0" w:color="auto"/>
              </w:divBdr>
            </w:div>
          </w:divsChild>
        </w:div>
        <w:div w:id="1063479520">
          <w:marLeft w:val="0"/>
          <w:marRight w:val="0"/>
          <w:marTop w:val="0"/>
          <w:marBottom w:val="0"/>
          <w:divBdr>
            <w:top w:val="none" w:sz="0" w:space="0" w:color="auto"/>
            <w:left w:val="none" w:sz="0" w:space="0" w:color="auto"/>
            <w:bottom w:val="none" w:sz="0" w:space="0" w:color="auto"/>
            <w:right w:val="none" w:sz="0" w:space="0" w:color="auto"/>
          </w:divBdr>
        </w:div>
        <w:div w:id="328138997">
          <w:marLeft w:val="0"/>
          <w:marRight w:val="0"/>
          <w:marTop w:val="0"/>
          <w:marBottom w:val="0"/>
          <w:divBdr>
            <w:top w:val="none" w:sz="0" w:space="0" w:color="auto"/>
            <w:left w:val="none" w:sz="0" w:space="0" w:color="auto"/>
            <w:bottom w:val="none" w:sz="0" w:space="0" w:color="auto"/>
            <w:right w:val="none" w:sz="0" w:space="0" w:color="auto"/>
          </w:divBdr>
        </w:div>
        <w:div w:id="840775097">
          <w:marLeft w:val="0"/>
          <w:marRight w:val="0"/>
          <w:marTop w:val="0"/>
          <w:marBottom w:val="0"/>
          <w:divBdr>
            <w:top w:val="none" w:sz="0" w:space="0" w:color="auto"/>
            <w:left w:val="none" w:sz="0" w:space="0" w:color="auto"/>
            <w:bottom w:val="none" w:sz="0" w:space="0" w:color="auto"/>
            <w:right w:val="none" w:sz="0" w:space="0" w:color="auto"/>
          </w:divBdr>
        </w:div>
        <w:div w:id="511460312">
          <w:marLeft w:val="0"/>
          <w:marRight w:val="0"/>
          <w:marTop w:val="0"/>
          <w:marBottom w:val="0"/>
          <w:divBdr>
            <w:top w:val="none" w:sz="0" w:space="0" w:color="auto"/>
            <w:left w:val="none" w:sz="0" w:space="0" w:color="auto"/>
            <w:bottom w:val="none" w:sz="0" w:space="0" w:color="auto"/>
            <w:right w:val="none" w:sz="0" w:space="0" w:color="auto"/>
          </w:divBdr>
        </w:div>
        <w:div w:id="1393582362">
          <w:marLeft w:val="0"/>
          <w:marRight w:val="0"/>
          <w:marTop w:val="0"/>
          <w:marBottom w:val="0"/>
          <w:divBdr>
            <w:top w:val="none" w:sz="0" w:space="0" w:color="auto"/>
            <w:left w:val="none" w:sz="0" w:space="0" w:color="auto"/>
            <w:bottom w:val="none" w:sz="0" w:space="0" w:color="auto"/>
            <w:right w:val="none" w:sz="0" w:space="0" w:color="auto"/>
          </w:divBdr>
        </w:div>
        <w:div w:id="1459451401">
          <w:marLeft w:val="0"/>
          <w:marRight w:val="0"/>
          <w:marTop w:val="0"/>
          <w:marBottom w:val="0"/>
          <w:divBdr>
            <w:top w:val="none" w:sz="0" w:space="0" w:color="auto"/>
            <w:left w:val="none" w:sz="0" w:space="0" w:color="auto"/>
            <w:bottom w:val="none" w:sz="0" w:space="0" w:color="auto"/>
            <w:right w:val="none" w:sz="0" w:space="0" w:color="auto"/>
          </w:divBdr>
        </w:div>
      </w:divsChild>
    </w:div>
    <w:div w:id="1840536296">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DBB2-83F4-460A-AFFB-CCF7D8EC1307}">
  <ds:schemaRefs>
    <ds:schemaRef ds:uri="http://schemas.openxmlformats.org/officeDocument/2006/bibliography"/>
  </ds:schemaRefs>
</ds:datastoreItem>
</file>

<file path=customXml/itemProps2.xml><?xml version="1.0" encoding="utf-8"?>
<ds:datastoreItem xmlns:ds="http://schemas.openxmlformats.org/officeDocument/2006/customXml" ds:itemID="{277EC04A-A68F-49D5-B287-04463AFC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1868</Words>
  <Characters>13053</Characters>
  <Application>Microsoft Office Word</Application>
  <DocSecurity>0</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14892</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2025-05-08T13:13:00Z</dcterms:created>
  <dc:creator>EK</dc:creator>
  <cp:lastModifiedBy>Edmundas Kiškis</cp:lastModifiedBy>
  <cp:lastPrinted>2025-04-14T08:24:00Z</cp:lastPrinted>
  <dcterms:modified xsi:type="dcterms:W3CDTF">2025-05-13T11:47:00Z</dcterms:modified>
  <cp:revision>3</cp:revision>
  <dc:title>LIETUVOS RESPUBLIKOS</dc:title>
</cp:coreProperties>
</file>