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D6AC" w14:textId="02037D0E" w:rsidR="00694944" w:rsidRDefault="00694944" w:rsidP="00694944">
      <w:pPr>
        <w:jc w:val="center"/>
        <w:outlineLvl w:val="0"/>
        <w:rPr>
          <w:b/>
          <w:bCs/>
        </w:rPr>
      </w:pPr>
    </w:p>
    <w:p w14:paraId="711CD6AD" w14:textId="6815A185" w:rsidR="00694944" w:rsidRDefault="008115F0" w:rsidP="00694944">
      <w:pPr>
        <w:jc w:val="center"/>
        <w:outlineLvl w:val="0"/>
        <w:rPr>
          <w:b/>
          <w:bCs/>
        </w:rPr>
      </w:pPr>
      <w:r>
        <w:rPr>
          <w:b/>
          <w:bCs/>
        </w:rPr>
        <w:t xml:space="preserve">KORUPCIJOS RIZIKOS ANALZĖS IŠVADOJE FINANSŲ MINISTERIJAI </w:t>
      </w:r>
      <w:r w:rsidR="00694944" w:rsidRPr="00C5156F">
        <w:rPr>
          <w:b/>
          <w:bCs/>
        </w:rPr>
        <w:t>PATEIKTŲ PASIŪLYMŲ ĮGYVENDINIM</w:t>
      </w:r>
      <w:r>
        <w:rPr>
          <w:b/>
          <w:bCs/>
        </w:rPr>
        <w:t>O STEBĖSENOS LENTELĖ</w:t>
      </w:r>
      <w:r w:rsidR="00694944" w:rsidRPr="00C5156F">
        <w:rPr>
          <w:rStyle w:val="Puslapioinaosnuoroda"/>
          <w:b/>
          <w:bCs/>
        </w:rPr>
        <w:footnoteReference w:id="1"/>
      </w:r>
    </w:p>
    <w:p w14:paraId="23EB5C8D" w14:textId="77777777" w:rsidR="008115F0" w:rsidRDefault="008115F0" w:rsidP="00694944">
      <w:pPr>
        <w:jc w:val="center"/>
        <w:outlineLvl w:val="0"/>
        <w:rPr>
          <w:b/>
          <w:bCs/>
        </w:rPr>
      </w:pPr>
    </w:p>
    <w:p w14:paraId="4AEE28F5" w14:textId="208268D0" w:rsidR="008115F0" w:rsidRPr="008115F0" w:rsidRDefault="008115F0" w:rsidP="008115F0">
      <w:pPr>
        <w:jc w:val="both"/>
        <w:outlineLvl w:val="0"/>
      </w:pPr>
      <w:r w:rsidRPr="008115F0">
        <w:t xml:space="preserve">Korupcijos rizikos analizės išvada </w:t>
      </w:r>
      <w:r w:rsidR="00D76FD0" w:rsidRPr="00574EC8">
        <w:t>azartinių lošimų</w:t>
      </w:r>
      <w:r w:rsidRPr="008115F0">
        <w:t xml:space="preserve"> </w:t>
      </w:r>
      <w:r w:rsidR="00D76FD0" w:rsidRPr="00574EC8">
        <w:t>licencijavimo ir priežiūros procesuose</w:t>
      </w:r>
      <w:r w:rsidRPr="008115F0">
        <w:t>(toliau – KRA išvada) ir pasiūlymai Lietuvos Respublikos finansų ministerijai (toliau – FM</w:t>
      </w:r>
      <w:r w:rsidR="00D76FD0" w:rsidRPr="00574EC8">
        <w:t>)</w:t>
      </w:r>
      <w:r w:rsidRPr="008115F0">
        <w:t xml:space="preserve"> ir L</w:t>
      </w:r>
      <w:r w:rsidR="00D76FD0" w:rsidRPr="00574EC8">
        <w:t>ošimų priežiūros tarnybai prie Lietuvos Respublikos finansų ministerijos</w:t>
      </w:r>
      <w:r w:rsidRPr="008115F0">
        <w:t xml:space="preserve"> pateikti S</w:t>
      </w:r>
      <w:r w:rsidR="00D76FD0" w:rsidRPr="00574EC8">
        <w:t>pecialiųjų tyrimų tarnybos</w:t>
      </w:r>
      <w:r w:rsidRPr="008115F0">
        <w:t xml:space="preserve"> 202</w:t>
      </w:r>
      <w:r w:rsidR="00D76FD0" w:rsidRPr="00574EC8">
        <w:t>5</w:t>
      </w:r>
      <w:r w:rsidRPr="008115F0">
        <w:t xml:space="preserve"> m. </w:t>
      </w:r>
      <w:r w:rsidR="00D76FD0" w:rsidRPr="00574EC8">
        <w:t>balandžio</w:t>
      </w:r>
      <w:r w:rsidRPr="008115F0">
        <w:t xml:space="preserve"> </w:t>
      </w:r>
      <w:r w:rsidR="00D76FD0" w:rsidRPr="00574EC8">
        <w:t>22</w:t>
      </w:r>
      <w:r w:rsidRPr="008115F0">
        <w:t xml:space="preserve"> d. raštu Nr. 4-01-3</w:t>
      </w:r>
      <w:r w:rsidR="00D76FD0" w:rsidRPr="00574EC8">
        <w:t>768</w:t>
      </w:r>
      <w:r w:rsidRPr="008115F0">
        <w:t>.</w:t>
      </w:r>
    </w:p>
    <w:p w14:paraId="2DA6279B" w14:textId="012605C6" w:rsidR="008115F0" w:rsidRPr="008115F0" w:rsidRDefault="008115F0" w:rsidP="008115F0">
      <w:pPr>
        <w:jc w:val="both"/>
        <w:outlineLvl w:val="0"/>
      </w:pPr>
      <w:bookmarkStart w:id="0" w:name="_Hlk189729612"/>
      <w:r w:rsidRPr="008115F0">
        <w:t>KRA išvadoje FM pateikt</w:t>
      </w:r>
      <w:r w:rsidRPr="00574EC8">
        <w:t>i</w:t>
      </w:r>
      <w:r w:rsidRPr="008115F0">
        <w:t xml:space="preserve"> </w:t>
      </w:r>
      <w:r w:rsidRPr="00574EC8">
        <w:t>7</w:t>
      </w:r>
      <w:r w:rsidRPr="008115F0">
        <w:t xml:space="preserve"> pasiūlym</w:t>
      </w:r>
      <w:r w:rsidRPr="00574EC8">
        <w:t>ai</w:t>
      </w:r>
      <w:r w:rsidRPr="008115F0">
        <w:t xml:space="preserve"> dėl kritinių antikorupcinių pastabų</w:t>
      </w:r>
      <w:bookmarkEnd w:id="0"/>
      <w:r w:rsidRPr="008115F0">
        <w:t>.</w:t>
      </w:r>
    </w:p>
    <w:p w14:paraId="17531CAF" w14:textId="77777777" w:rsidR="008115F0" w:rsidRPr="00574EC8" w:rsidRDefault="008115F0" w:rsidP="008115F0">
      <w:pPr>
        <w:jc w:val="both"/>
        <w:outlineLvl w:val="0"/>
      </w:pPr>
    </w:p>
    <w:p w14:paraId="711CD6AE" w14:textId="77777777" w:rsidR="00694944" w:rsidRPr="00C5156F" w:rsidRDefault="00694944" w:rsidP="00694944">
      <w:pPr>
        <w:jc w:val="center"/>
        <w:rPr>
          <w:b/>
          <w:bCs/>
        </w:rPr>
      </w:pPr>
    </w:p>
    <w:p w14:paraId="692CC0F2" w14:textId="77777777" w:rsidR="0034418E" w:rsidRDefault="0034418E" w:rsidP="0034418E"/>
    <w:tbl>
      <w:tblPr>
        <w:tblStyle w:val="Lentelstinklelis"/>
        <w:tblW w:w="0" w:type="auto"/>
        <w:tblLook w:val="04A0" w:firstRow="1" w:lastRow="0" w:firstColumn="1" w:lastColumn="0" w:noHBand="0" w:noVBand="1"/>
      </w:tblPr>
      <w:tblGrid>
        <w:gridCol w:w="3184"/>
        <w:gridCol w:w="3222"/>
        <w:gridCol w:w="5941"/>
        <w:gridCol w:w="1929"/>
      </w:tblGrid>
      <w:tr w:rsidR="0037500E" w:rsidRPr="002B3452" w14:paraId="2B949321" w14:textId="77777777" w:rsidTr="00C93F7D">
        <w:tc>
          <w:tcPr>
            <w:tcW w:w="3184" w:type="dxa"/>
          </w:tcPr>
          <w:p w14:paraId="2237D327" w14:textId="77777777" w:rsidR="0037500E" w:rsidRPr="008F1D8D" w:rsidRDefault="0037500E" w:rsidP="00187C33">
            <w:pPr>
              <w:widowControl w:val="0"/>
              <w:jc w:val="center"/>
              <w:rPr>
                <w:i/>
                <w:snapToGrid w:val="0"/>
              </w:rPr>
            </w:pPr>
            <w:r w:rsidRPr="008F1D8D">
              <w:rPr>
                <w:i/>
                <w:snapToGrid w:val="0"/>
              </w:rPr>
              <w:t>Pateiktos pastabos</w:t>
            </w:r>
          </w:p>
        </w:tc>
        <w:tc>
          <w:tcPr>
            <w:tcW w:w="3222" w:type="dxa"/>
          </w:tcPr>
          <w:p w14:paraId="52AC4B25" w14:textId="77777777" w:rsidR="0037500E" w:rsidRPr="008F1D8D" w:rsidRDefault="0037500E" w:rsidP="00187C33">
            <w:pPr>
              <w:widowControl w:val="0"/>
              <w:jc w:val="center"/>
              <w:rPr>
                <w:i/>
                <w:snapToGrid w:val="0"/>
              </w:rPr>
            </w:pPr>
            <w:r w:rsidRPr="008F1D8D">
              <w:rPr>
                <w:i/>
                <w:snapToGrid w:val="0"/>
              </w:rPr>
              <w:t>Pasiūlymai atsižvelgiant į pateiktas pastabas</w:t>
            </w:r>
          </w:p>
        </w:tc>
        <w:tc>
          <w:tcPr>
            <w:tcW w:w="5941" w:type="dxa"/>
          </w:tcPr>
          <w:p w14:paraId="36CBAB53" w14:textId="77777777" w:rsidR="0037500E" w:rsidRPr="008F1D8D" w:rsidRDefault="0037500E" w:rsidP="00187C33">
            <w:pPr>
              <w:widowControl w:val="0"/>
              <w:jc w:val="center"/>
              <w:rPr>
                <w:i/>
                <w:snapToGrid w:val="0"/>
              </w:rPr>
            </w:pPr>
            <w:r w:rsidRPr="008F1D8D">
              <w:rPr>
                <w:i/>
                <w:snapToGrid w:val="0"/>
              </w:rPr>
              <w:t>Duomenys apie pastabų ir pasiūlymų įgyvendinimą</w:t>
            </w:r>
          </w:p>
        </w:tc>
        <w:tc>
          <w:tcPr>
            <w:tcW w:w="1929" w:type="dxa"/>
          </w:tcPr>
          <w:p w14:paraId="3E7863AC" w14:textId="77777777" w:rsidR="0037500E" w:rsidRPr="008F1D8D" w:rsidRDefault="0037500E" w:rsidP="00187C33">
            <w:pPr>
              <w:widowControl w:val="0"/>
              <w:jc w:val="center"/>
              <w:rPr>
                <w:i/>
                <w:snapToGrid w:val="0"/>
              </w:rPr>
            </w:pPr>
            <w:r w:rsidRPr="008F1D8D">
              <w:rPr>
                <w:i/>
                <w:snapToGrid w:val="0"/>
              </w:rPr>
              <w:t>Specialiųjų tyrimų tarnybos vertinimas</w:t>
            </w:r>
          </w:p>
        </w:tc>
      </w:tr>
      <w:tr w:rsidR="0037500E" w:rsidRPr="002B3452" w14:paraId="27BD7A2B" w14:textId="77777777" w:rsidTr="00C93F7D">
        <w:tc>
          <w:tcPr>
            <w:tcW w:w="14276" w:type="dxa"/>
            <w:gridSpan w:val="4"/>
          </w:tcPr>
          <w:p w14:paraId="7DDD2410" w14:textId="77777777" w:rsidR="0037500E" w:rsidRPr="008F1D8D" w:rsidRDefault="0037500E" w:rsidP="00187C33">
            <w:pPr>
              <w:pStyle w:val="Sraopastraipa"/>
              <w:widowControl w:val="0"/>
              <w:numPr>
                <w:ilvl w:val="0"/>
                <w:numId w:val="1"/>
              </w:numPr>
              <w:jc w:val="center"/>
              <w:rPr>
                <w:i/>
                <w:snapToGrid w:val="0"/>
              </w:rPr>
            </w:pPr>
            <w:r w:rsidRPr="008F1D8D">
              <w:rPr>
                <w:i/>
                <w:snapToGrid w:val="0"/>
              </w:rPr>
              <w:t>Kritinės antikorupcinės pastabos</w:t>
            </w:r>
          </w:p>
        </w:tc>
      </w:tr>
      <w:tr w:rsidR="0037500E" w:rsidRPr="002B3452" w14:paraId="578637E3" w14:textId="77777777" w:rsidTr="00C93F7D">
        <w:tc>
          <w:tcPr>
            <w:tcW w:w="3184" w:type="dxa"/>
          </w:tcPr>
          <w:p w14:paraId="099B9BA6" w14:textId="4F9EE385" w:rsidR="00C93F7D" w:rsidRDefault="00C93F7D" w:rsidP="008115F0">
            <w:pPr>
              <w:tabs>
                <w:tab w:val="left" w:pos="851"/>
              </w:tabs>
              <w:jc w:val="both"/>
              <w:rPr>
                <w:iCs/>
              </w:rPr>
            </w:pPr>
            <w:r w:rsidRPr="00D9474F">
              <w:t xml:space="preserve">5.1.1. </w:t>
            </w:r>
            <w:r w:rsidRPr="008677E8">
              <w:rPr>
                <w:iCs/>
              </w:rPr>
              <w:t xml:space="preserve">Analizuojamu laikotarpiu </w:t>
            </w:r>
            <w:r>
              <w:rPr>
                <w:iCs/>
              </w:rPr>
              <w:t xml:space="preserve">ALĮ nustatytas </w:t>
            </w:r>
            <w:r w:rsidRPr="008677E8">
              <w:rPr>
                <w:iCs/>
              </w:rPr>
              <w:t xml:space="preserve">nepriekaištingos reputacijos reikalavimas buvo </w:t>
            </w:r>
            <w:r>
              <w:rPr>
                <w:iCs/>
              </w:rPr>
              <w:t>per siauras</w:t>
            </w:r>
            <w:r w:rsidRPr="008677E8">
              <w:rPr>
                <w:iCs/>
              </w:rPr>
              <w:t xml:space="preserve">, </w:t>
            </w:r>
            <w:r>
              <w:rPr>
                <w:iCs/>
              </w:rPr>
              <w:t>n</w:t>
            </w:r>
            <w:r w:rsidRPr="008677E8">
              <w:rPr>
                <w:iCs/>
              </w:rPr>
              <w:t>uo 2024-11-01 įsigalio</w:t>
            </w:r>
            <w:r>
              <w:rPr>
                <w:iCs/>
              </w:rPr>
              <w:t>ję ALĮ</w:t>
            </w:r>
            <w:r w:rsidRPr="008677E8">
              <w:rPr>
                <w:iCs/>
              </w:rPr>
              <w:t xml:space="preserve"> pakeitimai iš dalies </w:t>
            </w:r>
            <w:r>
              <w:rPr>
                <w:iCs/>
              </w:rPr>
              <w:t>išsprendė</w:t>
            </w:r>
            <w:r w:rsidRPr="008677E8">
              <w:rPr>
                <w:iCs/>
              </w:rPr>
              <w:t xml:space="preserve"> š</w:t>
            </w:r>
            <w:r>
              <w:rPr>
                <w:iCs/>
              </w:rPr>
              <w:t>ią</w:t>
            </w:r>
            <w:r w:rsidRPr="008677E8">
              <w:rPr>
                <w:iCs/>
              </w:rPr>
              <w:t xml:space="preserve"> problem</w:t>
            </w:r>
            <w:r>
              <w:rPr>
                <w:iCs/>
              </w:rPr>
              <w:t>ą</w:t>
            </w:r>
            <w:r w:rsidRPr="008677E8">
              <w:rPr>
                <w:iCs/>
              </w:rPr>
              <w:t xml:space="preserve">, </w:t>
            </w:r>
            <w:r>
              <w:rPr>
                <w:iCs/>
              </w:rPr>
              <w:t xml:space="preserve">tačiau </w:t>
            </w:r>
            <w:r w:rsidRPr="008677E8">
              <w:rPr>
                <w:iCs/>
              </w:rPr>
              <w:t>vis dar lieka esminių reglamentavimo spragų</w:t>
            </w:r>
            <w:r>
              <w:rPr>
                <w:iCs/>
              </w:rPr>
              <w:t>:</w:t>
            </w:r>
            <w:r w:rsidRPr="008677E8">
              <w:rPr>
                <w:iCs/>
              </w:rPr>
              <w:t xml:space="preserve"> ALĮ nėra aiškiai apibrėžtos</w:t>
            </w:r>
            <w:r>
              <w:rPr>
                <w:iCs/>
              </w:rPr>
              <w:t xml:space="preserve"> </w:t>
            </w:r>
            <w:r w:rsidRPr="00880077">
              <w:rPr>
                <w:i/>
              </w:rPr>
              <w:t>lošėjus aptarnaujan</w:t>
            </w:r>
            <w:r>
              <w:rPr>
                <w:i/>
              </w:rPr>
              <w:t>čio</w:t>
            </w:r>
            <w:r w:rsidRPr="00880077">
              <w:rPr>
                <w:i/>
              </w:rPr>
              <w:t xml:space="preserve"> </w:t>
            </w:r>
            <w:r>
              <w:rPr>
                <w:i/>
              </w:rPr>
              <w:t>personalo</w:t>
            </w:r>
            <w:r w:rsidRPr="008677E8">
              <w:rPr>
                <w:iCs/>
              </w:rPr>
              <w:t xml:space="preserve"> ir</w:t>
            </w:r>
            <w:r>
              <w:rPr>
                <w:iCs/>
              </w:rPr>
              <w:t xml:space="preserve"> </w:t>
            </w:r>
            <w:r w:rsidRPr="00880077">
              <w:rPr>
                <w:i/>
              </w:rPr>
              <w:t>pasitelktų lošimų veiklos leidime nurodomai lošimų organizavimo veiklai vykdyti ar konsultavimui dėl šios veiklos vykdymo asmenų</w:t>
            </w:r>
            <w:r>
              <w:rPr>
                <w:iCs/>
              </w:rPr>
              <w:t xml:space="preserve"> sąvokos. D</w:t>
            </w:r>
            <w:r w:rsidRPr="005A6B7D">
              <w:rPr>
                <w:iCs/>
              </w:rPr>
              <w:t xml:space="preserve">ėl aiškių kriterijų ir </w:t>
            </w:r>
            <w:r w:rsidRPr="005A6B7D">
              <w:rPr>
                <w:iCs/>
              </w:rPr>
              <w:lastRenderedPageBreak/>
              <w:t xml:space="preserve">procedūrų stokos gali būti sudaromos sąlygos priimti subjektyvius ar neskaidrius sprendimus </w:t>
            </w:r>
            <w:r>
              <w:rPr>
                <w:iCs/>
              </w:rPr>
              <w:t>atliekant šių</w:t>
            </w:r>
            <w:r w:rsidRPr="005A6B7D">
              <w:rPr>
                <w:iCs/>
              </w:rPr>
              <w:t xml:space="preserve"> asmenų atitikties reikalavim</w:t>
            </w:r>
            <w:r>
              <w:rPr>
                <w:iCs/>
              </w:rPr>
              <w:t xml:space="preserve">ui vertinimą </w:t>
            </w:r>
            <w:r>
              <w:rPr>
                <w:iCs/>
                <w:color w:val="000000" w:themeColor="text1"/>
              </w:rPr>
              <w:t>(</w:t>
            </w:r>
            <w:r w:rsidRPr="003C3ED7">
              <w:rPr>
                <w:i/>
                <w:color w:val="000000" w:themeColor="text1"/>
              </w:rPr>
              <w:t xml:space="preserve">argumentai pateikti 3.1 </w:t>
            </w:r>
            <w:r>
              <w:rPr>
                <w:i/>
                <w:color w:val="000000" w:themeColor="text1"/>
              </w:rPr>
              <w:t>skirsnyje</w:t>
            </w:r>
            <w:r>
              <w:rPr>
                <w:iCs/>
                <w:color w:val="000000" w:themeColor="text1"/>
              </w:rPr>
              <w:t xml:space="preserve">). </w:t>
            </w:r>
            <w:r>
              <w:rPr>
                <w:iCs/>
              </w:rPr>
              <w:t xml:space="preserve"> </w:t>
            </w:r>
          </w:p>
          <w:p w14:paraId="2B047CF1" w14:textId="77777777" w:rsidR="0037500E" w:rsidRPr="002B3452" w:rsidRDefault="0037500E" w:rsidP="00C93F7D">
            <w:pPr>
              <w:widowControl w:val="0"/>
              <w:rPr>
                <w:snapToGrid w:val="0"/>
              </w:rPr>
            </w:pPr>
          </w:p>
        </w:tc>
        <w:tc>
          <w:tcPr>
            <w:tcW w:w="3222" w:type="dxa"/>
          </w:tcPr>
          <w:p w14:paraId="10B1181E" w14:textId="77777777" w:rsidR="00C93F7D" w:rsidRPr="001B2F28" w:rsidRDefault="00C93F7D" w:rsidP="00C93F7D">
            <w:pPr>
              <w:tabs>
                <w:tab w:val="left" w:pos="1276"/>
              </w:tabs>
              <w:ind w:firstLine="851"/>
              <w:jc w:val="both"/>
            </w:pPr>
            <w:r w:rsidRPr="001B2F28">
              <w:lastRenderedPageBreak/>
              <w:t>Siekdami užtikrinti lošėjų teisėtų interesų apsaugą, lošimo bendrovių sąžiningos konkurencijos sąlygas bei teisinio reguliavimo aiškumą, siūlom</w:t>
            </w:r>
            <w:r>
              <w:t>a</w:t>
            </w:r>
            <w:r w:rsidRPr="001B2F28">
              <w:t xml:space="preserve"> ALĮ detalizuoti, kokie asmenys laikytini </w:t>
            </w:r>
            <w:r w:rsidRPr="001B2F28">
              <w:rPr>
                <w:i/>
                <w:iCs/>
              </w:rPr>
              <w:t>lošėjus aptarnaujančiam personalu</w:t>
            </w:r>
            <w:r w:rsidRPr="001B2F28">
              <w:t xml:space="preserve"> bei </w:t>
            </w:r>
            <w:r w:rsidRPr="001B2F28">
              <w:rPr>
                <w:i/>
                <w:iCs/>
              </w:rPr>
              <w:t>pasitelktais lošimų veiklos leidime nurodomai lošimų organizavimo veiklai vykdyti ar konsultavimui dėl šios veiklos vykdymo asmenimis</w:t>
            </w:r>
            <w:r w:rsidRPr="001B2F28">
              <w:t>(</w:t>
            </w:r>
            <w:r w:rsidRPr="00D33362">
              <w:rPr>
                <w:i/>
                <w:iCs/>
              </w:rPr>
              <w:t>dėl kritinės antikorupcinės pastabos Nr. 5.1.1</w:t>
            </w:r>
            <w:r w:rsidRPr="001B2F28">
              <w:t>)</w:t>
            </w:r>
            <w:r>
              <w:t>;</w:t>
            </w:r>
          </w:p>
          <w:p w14:paraId="663A01AA" w14:textId="74F6F576" w:rsidR="0037500E" w:rsidRPr="002B3452" w:rsidRDefault="0037500E" w:rsidP="00C93F7D">
            <w:pPr>
              <w:widowControl w:val="0"/>
              <w:rPr>
                <w:snapToGrid w:val="0"/>
              </w:rPr>
            </w:pPr>
          </w:p>
        </w:tc>
        <w:tc>
          <w:tcPr>
            <w:tcW w:w="5941" w:type="dxa"/>
          </w:tcPr>
          <w:p w14:paraId="06C5AE06" w14:textId="2E93708C" w:rsidR="0037500E" w:rsidRDefault="007A6FFC" w:rsidP="00187C33">
            <w:pPr>
              <w:widowControl w:val="0"/>
              <w:rPr>
                <w:i/>
                <w:iCs/>
              </w:rPr>
            </w:pPr>
            <w:r>
              <w:rPr>
                <w:snapToGrid w:val="0"/>
              </w:rPr>
              <w:t>Parengtas</w:t>
            </w:r>
            <w:r w:rsidR="000473E4">
              <w:rPr>
                <w:snapToGrid w:val="0"/>
              </w:rPr>
              <w:t xml:space="preserve"> Lietuvos Respublikos azartinių lošimų įstatymo pakeitimo projektas (toliau – Įstatymo projektas), kuriame aiškiai detalizuojama, kokie asmenys laikytini </w:t>
            </w:r>
            <w:r w:rsidR="000473E4" w:rsidRPr="000473E4">
              <w:rPr>
                <w:i/>
                <w:iCs/>
                <w:snapToGrid w:val="0"/>
              </w:rPr>
              <w:t>lošėjus aptarnaujančiu personalu</w:t>
            </w:r>
            <w:r w:rsidR="000473E4">
              <w:rPr>
                <w:snapToGrid w:val="0"/>
              </w:rPr>
              <w:t xml:space="preserve"> ir  </w:t>
            </w:r>
            <w:r w:rsidR="000473E4" w:rsidRPr="001B2F28">
              <w:rPr>
                <w:i/>
                <w:iCs/>
              </w:rPr>
              <w:t>pasitelktais lošimų veiklos leidime nurodomai lošimų organizavimo veiklai vykdyti ar konsultavimui dėl šios veiklos vykdymo asmenimis</w:t>
            </w:r>
            <w:r w:rsidR="000473E4">
              <w:rPr>
                <w:i/>
                <w:iCs/>
              </w:rPr>
              <w:t xml:space="preserve">. </w:t>
            </w:r>
          </w:p>
          <w:p w14:paraId="5AB93834" w14:textId="77777777" w:rsidR="007A0E7C" w:rsidRDefault="007A0E7C" w:rsidP="007A0E7C">
            <w:pPr>
              <w:widowControl w:val="0"/>
            </w:pPr>
            <w:r>
              <w:t>Įstatymo projektas tikslinamas pagal Lietuvos Respublikos Vyriausybės Teisės grupės pateiktas pastabas.</w:t>
            </w:r>
          </w:p>
          <w:p w14:paraId="5A5EC7F9" w14:textId="2B080574" w:rsidR="000473E4" w:rsidRPr="000473E4" w:rsidRDefault="000473E4" w:rsidP="00187C33">
            <w:pPr>
              <w:widowControl w:val="0"/>
              <w:rPr>
                <w:snapToGrid w:val="0"/>
              </w:rPr>
            </w:pPr>
            <w:r>
              <w:t>Planuojama Įstatymo projektą teikti svarstyti Lietuvos Respublikos Seimui 2026 m. pavasario sesijoje.</w:t>
            </w:r>
          </w:p>
        </w:tc>
        <w:tc>
          <w:tcPr>
            <w:tcW w:w="1929" w:type="dxa"/>
          </w:tcPr>
          <w:p w14:paraId="012A86E9" w14:textId="77777777" w:rsidR="0037500E" w:rsidRPr="002B3452" w:rsidRDefault="0037500E" w:rsidP="00187C33">
            <w:pPr>
              <w:widowControl w:val="0"/>
              <w:rPr>
                <w:snapToGrid w:val="0"/>
              </w:rPr>
            </w:pPr>
          </w:p>
        </w:tc>
      </w:tr>
      <w:tr w:rsidR="0037500E" w:rsidRPr="002B3452" w14:paraId="3D6A8FFD" w14:textId="77777777" w:rsidTr="00C93F7D">
        <w:tc>
          <w:tcPr>
            <w:tcW w:w="3184" w:type="dxa"/>
          </w:tcPr>
          <w:p w14:paraId="1A4F90AF" w14:textId="77777777" w:rsidR="00C93F7D" w:rsidRPr="00643D7B" w:rsidRDefault="00C93F7D" w:rsidP="008115F0">
            <w:pPr>
              <w:tabs>
                <w:tab w:val="left" w:pos="851"/>
              </w:tabs>
              <w:jc w:val="both"/>
            </w:pPr>
            <w:r w:rsidRPr="00643D7B">
              <w:rPr>
                <w:iCs/>
              </w:rPr>
              <w:t>5.1.</w:t>
            </w:r>
            <w:r>
              <w:rPr>
                <w:iCs/>
              </w:rPr>
              <w:t>3</w:t>
            </w:r>
            <w:r w:rsidRPr="00643D7B">
              <w:rPr>
                <w:iCs/>
              </w:rPr>
              <w:t xml:space="preserve">. </w:t>
            </w:r>
            <w:r>
              <w:t xml:space="preserve">Neapibrėžta lošimo reglamentų tvirtinimo ir keitimo tvarka kelia subjektyvaus sprendimų priėmimo, procedūros vilkinimo bei nenuoseklaus taikymo riziką, taip pat didina administracinę naštą tiek Priežiūros tarnybai, tiek lošimus organizuojantiems ūkio subjektams </w:t>
            </w:r>
            <w:r w:rsidRPr="00643D7B">
              <w:t>(</w:t>
            </w:r>
            <w:r w:rsidRPr="00643D7B">
              <w:rPr>
                <w:i/>
              </w:rPr>
              <w:t>argumentai pateikti 3.2 skirsnyje</w:t>
            </w:r>
            <w:r w:rsidRPr="00643D7B">
              <w:rPr>
                <w:iCs/>
              </w:rPr>
              <w:t>)</w:t>
            </w:r>
            <w:r w:rsidRPr="00643D7B">
              <w:t>.</w:t>
            </w:r>
          </w:p>
          <w:p w14:paraId="531AF5DA" w14:textId="77777777" w:rsidR="0037500E" w:rsidRPr="002B3452" w:rsidRDefault="0037500E" w:rsidP="00187C33">
            <w:pPr>
              <w:widowControl w:val="0"/>
              <w:rPr>
                <w:snapToGrid w:val="0"/>
              </w:rPr>
            </w:pPr>
          </w:p>
        </w:tc>
        <w:tc>
          <w:tcPr>
            <w:tcW w:w="3222" w:type="dxa"/>
          </w:tcPr>
          <w:p w14:paraId="0AFBAD71" w14:textId="77777777" w:rsidR="00C93F7D" w:rsidRPr="007070E0" w:rsidRDefault="00C93F7D" w:rsidP="00C93F7D">
            <w:pPr>
              <w:tabs>
                <w:tab w:val="left" w:pos="1276"/>
              </w:tabs>
              <w:ind w:firstLine="851"/>
              <w:jc w:val="both"/>
              <w:rPr>
                <w:color w:val="000000" w:themeColor="text1"/>
              </w:rPr>
            </w:pPr>
            <w:r>
              <w:t xml:space="preserve">Siekdami užtikrinti skaidrumą, teisinį aiškumą ir vienodą lošimo reglamentų tvirtinimo praktiką, siūlome teisės aktuose įtvirtinti lošimo reglamentų tvirtinimo procedūrą. Ji turėtų apimti aiškiai nustatytus vertinimo kriterijus, konkrečius terminus, reglamentų netvirtinimo pagrindus bei keitimo ar papildymo tvarką. Toks teisinis reguliavimas eliminuotų perteklinę Priežiūros tarnybos </w:t>
            </w:r>
            <w:proofErr w:type="spellStart"/>
            <w:r>
              <w:t>diskreciją</w:t>
            </w:r>
            <w:proofErr w:type="spellEnd"/>
            <w:r>
              <w:t>, užtikrintų didesnį administracinės paslaugos skaidrumą bei sumažintų administracinę naštą tiek priežiūros institucijai, tiek ūkio subjektams (</w:t>
            </w:r>
            <w:r w:rsidRPr="00542DDA">
              <w:rPr>
                <w:i/>
                <w:iCs/>
              </w:rPr>
              <w:t>dėl kritinės antikorupcinės pastabos Nr. 5.1.3</w:t>
            </w:r>
            <w:r>
              <w:t>).</w:t>
            </w:r>
          </w:p>
          <w:p w14:paraId="4C569133" w14:textId="77777777" w:rsidR="0037500E" w:rsidRPr="002B3452" w:rsidRDefault="0037500E" w:rsidP="00C93F7D">
            <w:pPr>
              <w:widowControl w:val="0"/>
              <w:rPr>
                <w:snapToGrid w:val="0"/>
              </w:rPr>
            </w:pPr>
          </w:p>
        </w:tc>
        <w:tc>
          <w:tcPr>
            <w:tcW w:w="5941" w:type="dxa"/>
          </w:tcPr>
          <w:p w14:paraId="1B5995BF" w14:textId="32ACE237" w:rsidR="0037500E" w:rsidRDefault="007A6FFC" w:rsidP="00187C33">
            <w:pPr>
              <w:widowControl w:val="0"/>
              <w:rPr>
                <w:snapToGrid w:val="0"/>
              </w:rPr>
            </w:pPr>
            <w:r>
              <w:rPr>
                <w:snapToGrid w:val="0"/>
              </w:rPr>
              <w:t xml:space="preserve"> Parengtu </w:t>
            </w:r>
            <w:r w:rsidR="000473E4">
              <w:rPr>
                <w:snapToGrid w:val="0"/>
              </w:rPr>
              <w:t>Įstatymo projektu siūloma nustatyti, kad lošimo</w:t>
            </w:r>
            <w:r>
              <w:rPr>
                <w:snapToGrid w:val="0"/>
              </w:rPr>
              <w:t xml:space="preserve"> organizavimo reglamentą rengtų, tvirtintų ir lošimų organizavimo vietoje ir (ar) lošimų organizatoriaus interneto svetainėje, kurioje organizuojami nuotoliniai lošimai, skelbtų lošimų organizatorius. Nustatomi aiškūs reikalavimai lošimų organizavimo reglamento struktūrai ir turiniui.</w:t>
            </w:r>
            <w:r w:rsidR="000473E4">
              <w:rPr>
                <w:snapToGrid w:val="0"/>
              </w:rPr>
              <w:t xml:space="preserve"> </w:t>
            </w:r>
            <w:r>
              <w:rPr>
                <w:snapToGrid w:val="0"/>
              </w:rPr>
              <w:t xml:space="preserve">Priežiūros tarnybai suteikiami įgaliojimai duoti privalomus nurodymus lošimų organizatoriui dėl lošimų organizavimo reglamento </w:t>
            </w:r>
            <w:proofErr w:type="spellStart"/>
            <w:r w:rsidRPr="007A6FFC">
              <w:rPr>
                <w:i/>
                <w:iCs/>
                <w:snapToGrid w:val="0"/>
              </w:rPr>
              <w:t>ex</w:t>
            </w:r>
            <w:proofErr w:type="spellEnd"/>
            <w:r w:rsidRPr="007A6FFC">
              <w:rPr>
                <w:i/>
                <w:iCs/>
                <w:snapToGrid w:val="0"/>
              </w:rPr>
              <w:t xml:space="preserve"> </w:t>
            </w:r>
            <w:proofErr w:type="spellStart"/>
            <w:r w:rsidRPr="007A6FFC">
              <w:rPr>
                <w:i/>
                <w:iCs/>
                <w:snapToGrid w:val="0"/>
              </w:rPr>
              <w:t>post</w:t>
            </w:r>
            <w:proofErr w:type="spellEnd"/>
            <w:r>
              <w:rPr>
                <w:snapToGrid w:val="0"/>
              </w:rPr>
              <w:t xml:space="preserve"> kontrolės metu nustatytų neatitikimų </w:t>
            </w:r>
            <w:r w:rsidR="009C213F">
              <w:rPr>
                <w:snapToGrid w:val="0"/>
              </w:rPr>
              <w:t>pašalinimo.</w:t>
            </w:r>
          </w:p>
          <w:p w14:paraId="053EF13C" w14:textId="77777777" w:rsidR="007A0E7C" w:rsidRDefault="007A0E7C" w:rsidP="007A0E7C">
            <w:pPr>
              <w:widowControl w:val="0"/>
            </w:pPr>
            <w:r>
              <w:t>Įstatymo projektas tikslinamas pagal Lietuvos Respublikos Vyriausybės Teisės grupės pateiktas pastabas.</w:t>
            </w:r>
          </w:p>
          <w:p w14:paraId="300D25AC" w14:textId="56D2780F" w:rsidR="002446AF" w:rsidRPr="002B3452" w:rsidRDefault="002446AF" w:rsidP="00187C33">
            <w:pPr>
              <w:widowControl w:val="0"/>
              <w:rPr>
                <w:snapToGrid w:val="0"/>
              </w:rPr>
            </w:pPr>
            <w:r>
              <w:t>Planuojama Įstatymo projektą teikti svarstyti Lietuvos Respublikos Seimui 2026 m. pavasario sesijoje.</w:t>
            </w:r>
          </w:p>
        </w:tc>
        <w:tc>
          <w:tcPr>
            <w:tcW w:w="1929" w:type="dxa"/>
          </w:tcPr>
          <w:p w14:paraId="036B10A7" w14:textId="77777777" w:rsidR="0037500E" w:rsidRPr="002B3452" w:rsidRDefault="0037500E" w:rsidP="00187C33">
            <w:pPr>
              <w:widowControl w:val="0"/>
              <w:rPr>
                <w:snapToGrid w:val="0"/>
              </w:rPr>
            </w:pPr>
          </w:p>
        </w:tc>
      </w:tr>
      <w:tr w:rsidR="0037500E" w:rsidRPr="002B3452" w14:paraId="4FBF67F6" w14:textId="77777777" w:rsidTr="00C93F7D">
        <w:tc>
          <w:tcPr>
            <w:tcW w:w="3184" w:type="dxa"/>
          </w:tcPr>
          <w:p w14:paraId="3C22B507" w14:textId="2646899D" w:rsidR="0037500E" w:rsidRPr="002B3452" w:rsidRDefault="00C93F7D" w:rsidP="00187C33">
            <w:pPr>
              <w:widowControl w:val="0"/>
              <w:rPr>
                <w:snapToGrid w:val="0"/>
              </w:rPr>
            </w:pPr>
            <w:r w:rsidRPr="00B60D75">
              <w:t>5.1.</w:t>
            </w:r>
            <w:r>
              <w:t>4</w:t>
            </w:r>
            <w:r w:rsidRPr="00B60D75">
              <w:t>.</w:t>
            </w:r>
            <w:r w:rsidRPr="00B60D75">
              <w:rPr>
                <w:shd w:val="clear" w:color="auto" w:fill="FFFFFF"/>
              </w:rPr>
              <w:t xml:space="preserve"> </w:t>
            </w:r>
            <w:r w:rsidRPr="00B60D75">
              <w:t>ALĮ pateiktas</w:t>
            </w:r>
            <w:r w:rsidRPr="00B60D75">
              <w:rPr>
                <w:b/>
                <w:bCs/>
              </w:rPr>
              <w:t xml:space="preserve"> </w:t>
            </w:r>
            <w:r w:rsidRPr="00B60D75">
              <w:rPr>
                <w:rStyle w:val="Grietas"/>
              </w:rPr>
              <w:t xml:space="preserve">nuotolinio lošimo apibrėžimas yra </w:t>
            </w:r>
            <w:r w:rsidRPr="00B60D75">
              <w:rPr>
                <w:rStyle w:val="Grietas"/>
              </w:rPr>
              <w:lastRenderedPageBreak/>
              <w:t xml:space="preserve">nepakankamas ir teisiškai </w:t>
            </w:r>
            <w:r w:rsidRPr="00B77B29">
              <w:rPr>
                <w:rStyle w:val="Grietas"/>
              </w:rPr>
              <w:t>neapibrėžtas</w:t>
            </w:r>
            <w:r w:rsidRPr="00CC3254">
              <w:t xml:space="preserve">, </w:t>
            </w:r>
            <w:r w:rsidRPr="00B77B29">
              <w:t xml:space="preserve">jame </w:t>
            </w:r>
            <w:r>
              <w:rPr>
                <w:rStyle w:val="Grietas"/>
              </w:rPr>
              <w:t>nedetalizuotos</w:t>
            </w:r>
            <w:r w:rsidRPr="00B77B29">
              <w:rPr>
                <w:rStyle w:val="Grietas"/>
              </w:rPr>
              <w:t xml:space="preserve"> visos nuotolinio lošimo rūšys</w:t>
            </w:r>
            <w:r w:rsidRPr="00B77B29">
              <w:t>. Dėl šios spragos</w:t>
            </w:r>
            <w:r w:rsidRPr="00B77B29">
              <w:rPr>
                <w:b/>
                <w:bCs/>
              </w:rPr>
              <w:t xml:space="preserve"> </w:t>
            </w:r>
            <w:r w:rsidRPr="00B77B29">
              <w:rPr>
                <w:rStyle w:val="Grietas"/>
              </w:rPr>
              <w:t>Priežiūros tarnyba poįstatyminiuose teisės aktuose savarankiškai nustato, keičia ir formuluoja nuotolinio lošimo rūšis</w:t>
            </w:r>
            <w:r w:rsidRPr="00B77B29">
              <w:t>,</w:t>
            </w:r>
            <w:r w:rsidRPr="00B77B29">
              <w:rPr>
                <w:b/>
                <w:bCs/>
              </w:rPr>
              <w:t xml:space="preserve"> </w:t>
            </w:r>
            <w:r w:rsidRPr="00B77B29">
              <w:t>įskaitant</w:t>
            </w:r>
            <w:r w:rsidRPr="00B77B29">
              <w:rPr>
                <w:b/>
                <w:bCs/>
              </w:rPr>
              <w:t xml:space="preserve"> </w:t>
            </w:r>
            <w:r w:rsidRPr="00B77B29">
              <w:rPr>
                <w:rStyle w:val="Grietas"/>
              </w:rPr>
              <w:t>tokias, kurios ALĮ apskritai nenurodytos (</w:t>
            </w:r>
            <w:r w:rsidRPr="00B77B29">
              <w:rPr>
                <w:rStyle w:val="Grietas"/>
                <w:i/>
                <w:iCs/>
              </w:rPr>
              <w:t>nuotoliniai stalo lošimai gyvai</w:t>
            </w:r>
            <w:r w:rsidRPr="00B77B29">
              <w:rPr>
                <w:rStyle w:val="Grietas"/>
              </w:rPr>
              <w:t>)</w:t>
            </w:r>
            <w:r w:rsidRPr="00B77B29">
              <w:t xml:space="preserve">. </w:t>
            </w:r>
            <w:r w:rsidRPr="00B60D75">
              <w:rPr>
                <w:shd w:val="clear" w:color="auto" w:fill="FFFFFF"/>
              </w:rPr>
              <w:t>Reguliavimo spragos leidžia subjektyviai interpretuoti lošimų rūšis, kas gali lemti neskaidrų sprendimų priėmimą, lošimo bendrovių nevienodą traktavimą ar net protekcionizmo riziką.</w:t>
            </w:r>
            <w:r>
              <w:rPr>
                <w:shd w:val="clear" w:color="auto" w:fill="FFFFFF"/>
              </w:rPr>
              <w:t xml:space="preserve"> Nesant</w:t>
            </w:r>
            <w:r w:rsidRPr="00B60D75">
              <w:rPr>
                <w:shd w:val="clear" w:color="auto" w:fill="FFFFFF"/>
              </w:rPr>
              <w:t xml:space="preserve"> aiškios metodikos, kaip tam tikri lošimai turėtų būti priskirti konkrečiai lošimų rūšiai, lošimo bendrovių veiklos ir jų siūlomų lošimų vertinimas gali būti subjektyvus ir nepakankamai pagrįstas </w:t>
            </w:r>
            <w:r w:rsidRPr="00B60D75">
              <w:t>(</w:t>
            </w:r>
            <w:r w:rsidRPr="00B60D75">
              <w:rPr>
                <w:i/>
              </w:rPr>
              <w:t>argumentai pateikti 3.3 skirsnyje</w:t>
            </w:r>
            <w:r w:rsidRPr="00B60D75">
              <w:rPr>
                <w:iCs/>
              </w:rPr>
              <w:t>)</w:t>
            </w:r>
            <w:r w:rsidRPr="00B60D75">
              <w:t>.</w:t>
            </w:r>
          </w:p>
        </w:tc>
        <w:tc>
          <w:tcPr>
            <w:tcW w:w="3222" w:type="dxa"/>
          </w:tcPr>
          <w:p w14:paraId="1A879866" w14:textId="18FCDBFD" w:rsidR="0037500E" w:rsidRPr="002B3452" w:rsidRDefault="00C93F7D" w:rsidP="00C93F7D">
            <w:pPr>
              <w:widowControl w:val="0"/>
              <w:rPr>
                <w:snapToGrid w:val="0"/>
              </w:rPr>
            </w:pPr>
            <w:r w:rsidRPr="004B4EFA">
              <w:lastRenderedPageBreak/>
              <w:t xml:space="preserve">Siekdami skaidresnės, veiksmingesnės ir sąžiningesnės lošimų rinkos </w:t>
            </w:r>
            <w:r w:rsidRPr="004B4EFA">
              <w:lastRenderedPageBreak/>
              <w:t>reguliavimo aplinkos, siūlome</w:t>
            </w:r>
            <w:r>
              <w:t xml:space="preserve"> </w:t>
            </w:r>
            <w:r w:rsidRPr="00AF6FAF">
              <w:rPr>
                <w:rStyle w:val="Grietas"/>
              </w:rPr>
              <w:t>mažinti reguliavimo neapibrėžtumą</w:t>
            </w:r>
            <w:r w:rsidRPr="00AF6FAF">
              <w:t>, kuris sudaro sąlygas subjektyviam lošimų priskyrimui skirtingoms kategorijoms ir galimam rinkos dalyvių nelygiavertiškumui, detalizuojant ALĮ įtvirtintą nuotolinio lošimo sąvoką, išvardinant visas nuotolinio lošimo rūšis, pateikiant jų apibrėžimus ir požymius, leidžiančius objektyviai atskirti vienas lošimo rūšis nuo kitų</w:t>
            </w:r>
            <w:r>
              <w:t xml:space="preserve"> </w:t>
            </w:r>
            <w:r w:rsidRPr="00AF6FAF">
              <w:t>(</w:t>
            </w:r>
            <w:r w:rsidRPr="00AF6FAF">
              <w:rPr>
                <w:i/>
                <w:iCs/>
              </w:rPr>
              <w:t>dėl kritinės antikorupcinės pastabos Nr. 5.1.</w:t>
            </w:r>
            <w:r>
              <w:rPr>
                <w:i/>
                <w:iCs/>
              </w:rPr>
              <w:t>4</w:t>
            </w:r>
            <w:r w:rsidRPr="00AF6FAF">
              <w:t>)</w:t>
            </w:r>
            <w:r>
              <w:t>.</w:t>
            </w:r>
          </w:p>
        </w:tc>
        <w:tc>
          <w:tcPr>
            <w:tcW w:w="5941" w:type="dxa"/>
          </w:tcPr>
          <w:p w14:paraId="0A2B42F2" w14:textId="32D3B33D" w:rsidR="0037500E" w:rsidRDefault="009C213F" w:rsidP="00187C33">
            <w:pPr>
              <w:widowControl w:val="0"/>
              <w:rPr>
                <w:snapToGrid w:val="0"/>
              </w:rPr>
            </w:pPr>
            <w:r>
              <w:rPr>
                <w:snapToGrid w:val="0"/>
              </w:rPr>
              <w:lastRenderedPageBreak/>
              <w:t>Parengtu</w:t>
            </w:r>
            <w:r w:rsidR="00C032FD">
              <w:rPr>
                <w:snapToGrid w:val="0"/>
              </w:rPr>
              <w:t xml:space="preserve"> </w:t>
            </w:r>
            <w:r w:rsidR="00DE29E2">
              <w:rPr>
                <w:snapToGrid w:val="0"/>
              </w:rPr>
              <w:t>Įstatymo projektu siūloma detalizuoti nuotolinio lošimo sąvoką, išskiriant visas nuotolinio lošimo rūšis ir pateikiant kiekvienos jų apibrėžtis.</w:t>
            </w:r>
          </w:p>
          <w:p w14:paraId="339C10D8" w14:textId="77777777" w:rsidR="007A0E7C" w:rsidRDefault="007A0E7C" w:rsidP="007A0E7C">
            <w:pPr>
              <w:widowControl w:val="0"/>
            </w:pPr>
            <w:r>
              <w:lastRenderedPageBreak/>
              <w:t>Įstatymo projektas tikslinamas pagal Lietuvos Respublikos Vyriausybės Teisės grupės pateiktas pastabas.</w:t>
            </w:r>
          </w:p>
          <w:p w14:paraId="5EEE4623" w14:textId="7AAC38A1" w:rsidR="00DE29E2" w:rsidRPr="002B3452" w:rsidRDefault="00DE29E2" w:rsidP="00187C33">
            <w:pPr>
              <w:widowControl w:val="0"/>
              <w:rPr>
                <w:snapToGrid w:val="0"/>
              </w:rPr>
            </w:pPr>
            <w:r>
              <w:t>Planuojama Įstatymo projektą teikti svarstyti Lietuvos Respublikos Seimui 2026 m. pavasario sesijoje.</w:t>
            </w:r>
          </w:p>
        </w:tc>
        <w:tc>
          <w:tcPr>
            <w:tcW w:w="1929" w:type="dxa"/>
          </w:tcPr>
          <w:p w14:paraId="760598AF" w14:textId="77777777" w:rsidR="0037500E" w:rsidRPr="002B3452" w:rsidRDefault="0037500E" w:rsidP="00187C33">
            <w:pPr>
              <w:widowControl w:val="0"/>
              <w:rPr>
                <w:snapToGrid w:val="0"/>
              </w:rPr>
            </w:pPr>
          </w:p>
        </w:tc>
      </w:tr>
      <w:tr w:rsidR="00C93F7D" w:rsidRPr="002B3452" w14:paraId="4980C06C" w14:textId="77777777" w:rsidTr="00C93F7D">
        <w:tc>
          <w:tcPr>
            <w:tcW w:w="3184" w:type="dxa"/>
          </w:tcPr>
          <w:p w14:paraId="274B601C" w14:textId="77777777" w:rsidR="0073509B" w:rsidRDefault="0073509B" w:rsidP="008115F0">
            <w:pPr>
              <w:tabs>
                <w:tab w:val="left" w:pos="1134"/>
              </w:tabs>
              <w:autoSpaceDE w:val="0"/>
              <w:autoSpaceDN w:val="0"/>
              <w:adjustRightInd w:val="0"/>
              <w:jc w:val="both"/>
            </w:pPr>
            <w:r w:rsidRPr="009F4B4C">
              <w:t>5.1.</w:t>
            </w:r>
            <w:r>
              <w:t>5</w:t>
            </w:r>
            <w:r w:rsidRPr="009F4B4C">
              <w:t>. Priežiūros tarnybos</w:t>
            </w:r>
            <w:r>
              <w:t xml:space="preserve"> sprendimai</w:t>
            </w:r>
            <w:r w:rsidRPr="009F4B4C">
              <w:t xml:space="preserve"> išduoti leidim</w:t>
            </w:r>
            <w:r>
              <w:t>us</w:t>
            </w:r>
            <w:r w:rsidRPr="009F4B4C">
              <w:t xml:space="preserve"> atidaryti lošimo automatų salonus ir (ar) </w:t>
            </w:r>
            <w:r>
              <w:t xml:space="preserve">steigti </w:t>
            </w:r>
            <w:r w:rsidRPr="009F4B4C">
              <w:t xml:space="preserve">lošimo namus (kazino) prekybos </w:t>
            </w:r>
            <w:r w:rsidRPr="009F4B4C">
              <w:lastRenderedPageBreak/>
              <w:t xml:space="preserve">centruose, galimai, prieštarauja ALĮ 10 straipsnio 2 dalies 15 punktui, kuris nustato </w:t>
            </w:r>
            <w:r>
              <w:t xml:space="preserve">apribojimus </w:t>
            </w:r>
            <w:r w:rsidRPr="009F4B4C">
              <w:t xml:space="preserve">lošimų organizavimo </w:t>
            </w:r>
            <w:r>
              <w:t>vietoms</w:t>
            </w:r>
            <w:r w:rsidRPr="009F4B4C">
              <w:t xml:space="preserve">. </w:t>
            </w:r>
            <w:r>
              <w:t>Jais</w:t>
            </w:r>
            <w:r w:rsidRPr="009F4B4C">
              <w:t xml:space="preserve"> siekiama mažinti lošimų prieinamumą bei apsaugoti socialiai pažeidžiamas grupes, įskaitant nepilnamečius ar priklausomybių turinčius asmenis. Minėtų Priežiūros tarnybos sprendimų teisėtumo trūkumas kelia neformalių susitarimų ir galimo neskaidraus leidimų išdavimo riziką (</w:t>
            </w:r>
            <w:r w:rsidRPr="009F4B4C">
              <w:rPr>
                <w:i/>
              </w:rPr>
              <w:t>argumentai pateikti 3.4 skirsnyje</w:t>
            </w:r>
            <w:r w:rsidRPr="009F4B4C">
              <w:rPr>
                <w:iCs/>
              </w:rPr>
              <w:t>)</w:t>
            </w:r>
            <w:r w:rsidRPr="009F4B4C">
              <w:t>.</w:t>
            </w:r>
          </w:p>
          <w:p w14:paraId="475A63F3" w14:textId="77777777" w:rsidR="00C93F7D" w:rsidRPr="002B3452" w:rsidRDefault="00C93F7D" w:rsidP="0073509B">
            <w:pPr>
              <w:widowControl w:val="0"/>
              <w:rPr>
                <w:snapToGrid w:val="0"/>
              </w:rPr>
            </w:pPr>
          </w:p>
        </w:tc>
        <w:tc>
          <w:tcPr>
            <w:tcW w:w="3222" w:type="dxa"/>
          </w:tcPr>
          <w:p w14:paraId="69E58DCC" w14:textId="77777777" w:rsidR="00C93F7D" w:rsidRPr="00BB39F6" w:rsidRDefault="00C93F7D" w:rsidP="00C93F7D">
            <w:pPr>
              <w:tabs>
                <w:tab w:val="left" w:pos="1134"/>
              </w:tabs>
              <w:autoSpaceDE w:val="0"/>
              <w:autoSpaceDN w:val="0"/>
              <w:adjustRightInd w:val="0"/>
              <w:ind w:firstLine="851"/>
              <w:jc w:val="both"/>
            </w:pPr>
            <w:r w:rsidRPr="00BB39F6">
              <w:lastRenderedPageBreak/>
              <w:t xml:space="preserve">Siekdami sumažinti galimų neformalių susitarimų tikimybę ir užtikrinti, kad leidimų </w:t>
            </w:r>
            <w:r>
              <w:t xml:space="preserve">atidaryti ir (ar) steigti </w:t>
            </w:r>
            <w:r w:rsidRPr="00BB39F6">
              <w:t>lošimų organizavim</w:t>
            </w:r>
            <w:r>
              <w:t>o vietas</w:t>
            </w:r>
            <w:r w:rsidRPr="00BB39F6">
              <w:t xml:space="preserve"> </w:t>
            </w:r>
            <w:r w:rsidRPr="00BB39F6">
              <w:lastRenderedPageBreak/>
              <w:t>prekybos centruose</w:t>
            </w:r>
            <w:r>
              <w:t xml:space="preserve"> išdavimas</w:t>
            </w:r>
            <w:r w:rsidRPr="00BB39F6">
              <w:t xml:space="preserve"> vyktų skaidriai ir nepažeistų viešojo intereso, siūlome</w:t>
            </w:r>
            <w:r>
              <w:t xml:space="preserve"> </w:t>
            </w:r>
            <w:r w:rsidRPr="00BB39F6">
              <w:t>(</w:t>
            </w:r>
            <w:r w:rsidRPr="00BB39F6">
              <w:rPr>
                <w:i/>
                <w:iCs/>
              </w:rPr>
              <w:t>dėl kritinės antikorupcinės pastabos Nr. 5.1.</w:t>
            </w:r>
            <w:r>
              <w:rPr>
                <w:i/>
                <w:iCs/>
              </w:rPr>
              <w:t>5</w:t>
            </w:r>
            <w:r w:rsidRPr="00BB39F6">
              <w:t>):</w:t>
            </w:r>
          </w:p>
          <w:p w14:paraId="267DCDF0" w14:textId="77777777" w:rsidR="00C93F7D" w:rsidRPr="00BB39F6" w:rsidRDefault="00C93F7D" w:rsidP="00C93F7D">
            <w:pPr>
              <w:tabs>
                <w:tab w:val="left" w:pos="1134"/>
              </w:tabs>
              <w:autoSpaceDE w:val="0"/>
              <w:autoSpaceDN w:val="0"/>
              <w:adjustRightInd w:val="0"/>
              <w:ind w:firstLine="851"/>
              <w:jc w:val="both"/>
            </w:pPr>
            <w:r w:rsidRPr="00BB39F6">
              <w:t>6.1.</w:t>
            </w:r>
            <w:r>
              <w:t>4</w:t>
            </w:r>
            <w:r w:rsidRPr="00BB39F6">
              <w:t>.1. įvertin</w:t>
            </w:r>
            <w:r>
              <w:t>ti</w:t>
            </w:r>
            <w:r w:rsidRPr="00BB39F6">
              <w:t>, ar Priežiūros tarnybos sprendimai dėl leidimų steigti ir (ar) atidaryti lošimų vietas prekybos centruose atitinka ALĮ 10 straipsnio 2 dalies 15 punkto reikalavimus</w:t>
            </w:r>
            <w:r>
              <w:t xml:space="preserve"> ir informuoti apie įvertinimo rezultatus STT;</w:t>
            </w:r>
          </w:p>
          <w:p w14:paraId="43522935" w14:textId="77777777" w:rsidR="00C93F7D" w:rsidRDefault="00C93F7D" w:rsidP="00C93F7D">
            <w:pPr>
              <w:tabs>
                <w:tab w:val="left" w:pos="1134"/>
              </w:tabs>
              <w:autoSpaceDE w:val="0"/>
              <w:autoSpaceDN w:val="0"/>
              <w:adjustRightInd w:val="0"/>
              <w:ind w:firstLine="851"/>
              <w:jc w:val="both"/>
            </w:pPr>
            <w:r w:rsidRPr="00DC6D28">
              <w:t>6.1.</w:t>
            </w:r>
            <w:r>
              <w:t>4</w:t>
            </w:r>
            <w:r w:rsidRPr="00DC6D28">
              <w:t xml:space="preserve">.2. </w:t>
            </w:r>
            <w:r>
              <w:t xml:space="preserve">ALĮ </w:t>
            </w:r>
            <w:r w:rsidRPr="00DC6D28">
              <w:t>aiškiai apibrėžti sąvokas „prekybos centras“ ir „pagal projektinį išplanavimą įrengtos atskiros patalpos“</w:t>
            </w:r>
            <w:r>
              <w:t>.</w:t>
            </w:r>
          </w:p>
          <w:p w14:paraId="71B94BE6" w14:textId="77777777" w:rsidR="00C93F7D" w:rsidRPr="004B4EFA" w:rsidRDefault="00C93F7D" w:rsidP="0073509B">
            <w:pPr>
              <w:tabs>
                <w:tab w:val="left" w:pos="1134"/>
                <w:tab w:val="left" w:pos="9356"/>
              </w:tabs>
              <w:autoSpaceDE w:val="0"/>
              <w:autoSpaceDN w:val="0"/>
              <w:adjustRightInd w:val="0"/>
              <w:ind w:firstLine="851"/>
              <w:jc w:val="both"/>
            </w:pPr>
          </w:p>
        </w:tc>
        <w:tc>
          <w:tcPr>
            <w:tcW w:w="5941" w:type="dxa"/>
          </w:tcPr>
          <w:p w14:paraId="1A01774A" w14:textId="77777777" w:rsidR="00AC5CB5" w:rsidRDefault="00AC5CB5" w:rsidP="00187C33">
            <w:pPr>
              <w:widowControl w:val="0"/>
              <w:rPr>
                <w:snapToGrid w:val="0"/>
              </w:rPr>
            </w:pPr>
          </w:p>
          <w:p w14:paraId="44B960B7" w14:textId="77777777" w:rsidR="00AC5CB5" w:rsidRDefault="00AC5CB5" w:rsidP="00187C33">
            <w:pPr>
              <w:widowControl w:val="0"/>
              <w:rPr>
                <w:snapToGrid w:val="0"/>
              </w:rPr>
            </w:pPr>
          </w:p>
          <w:p w14:paraId="61DEC83D" w14:textId="77777777" w:rsidR="00AC5CB5" w:rsidRDefault="00AC5CB5" w:rsidP="00187C33">
            <w:pPr>
              <w:widowControl w:val="0"/>
              <w:rPr>
                <w:snapToGrid w:val="0"/>
              </w:rPr>
            </w:pPr>
          </w:p>
          <w:p w14:paraId="42817AF2" w14:textId="77777777" w:rsidR="00AC5CB5" w:rsidRDefault="00AC5CB5" w:rsidP="00187C33">
            <w:pPr>
              <w:widowControl w:val="0"/>
              <w:rPr>
                <w:snapToGrid w:val="0"/>
              </w:rPr>
            </w:pPr>
          </w:p>
          <w:p w14:paraId="180D7330" w14:textId="77777777" w:rsidR="00AC5CB5" w:rsidRDefault="00AC5CB5" w:rsidP="00187C33">
            <w:pPr>
              <w:widowControl w:val="0"/>
              <w:rPr>
                <w:snapToGrid w:val="0"/>
              </w:rPr>
            </w:pPr>
          </w:p>
          <w:p w14:paraId="05F3DC70" w14:textId="77777777" w:rsidR="00AC5CB5" w:rsidRDefault="00AC5CB5" w:rsidP="00187C33">
            <w:pPr>
              <w:widowControl w:val="0"/>
              <w:rPr>
                <w:snapToGrid w:val="0"/>
              </w:rPr>
            </w:pPr>
          </w:p>
          <w:p w14:paraId="2F5FA192" w14:textId="77777777" w:rsidR="00AC5CB5" w:rsidRDefault="00AC5CB5" w:rsidP="00187C33">
            <w:pPr>
              <w:widowControl w:val="0"/>
              <w:rPr>
                <w:snapToGrid w:val="0"/>
              </w:rPr>
            </w:pPr>
          </w:p>
          <w:p w14:paraId="04BA39B2" w14:textId="77777777" w:rsidR="00AC5CB5" w:rsidRDefault="00AC5CB5" w:rsidP="00187C33">
            <w:pPr>
              <w:widowControl w:val="0"/>
              <w:rPr>
                <w:snapToGrid w:val="0"/>
              </w:rPr>
            </w:pPr>
          </w:p>
          <w:p w14:paraId="0B561E74" w14:textId="77777777" w:rsidR="00AC5CB5" w:rsidRDefault="00AC5CB5" w:rsidP="00187C33">
            <w:pPr>
              <w:widowControl w:val="0"/>
              <w:rPr>
                <w:snapToGrid w:val="0"/>
              </w:rPr>
            </w:pPr>
          </w:p>
          <w:p w14:paraId="47EB39F8" w14:textId="77777777" w:rsidR="00AC5CB5" w:rsidRDefault="00AC5CB5" w:rsidP="00187C33">
            <w:pPr>
              <w:widowControl w:val="0"/>
              <w:rPr>
                <w:snapToGrid w:val="0"/>
              </w:rPr>
            </w:pPr>
          </w:p>
          <w:p w14:paraId="0FD4DA0A" w14:textId="29A7E094" w:rsidR="00AC5CB5" w:rsidRDefault="00717F64" w:rsidP="00187C33">
            <w:pPr>
              <w:widowControl w:val="0"/>
              <w:rPr>
                <w:snapToGrid w:val="0"/>
              </w:rPr>
            </w:pPr>
            <w:r>
              <w:rPr>
                <w:snapToGrid w:val="0"/>
              </w:rPr>
              <w:t xml:space="preserve">Kreiptasi į Finansų ministerijos Centralizuoto vidaus audito skyrių su prašymu atlikti vertinimą dėl Priežiūros tarnybos priimtų sprendimų atitikties </w:t>
            </w:r>
            <w:r w:rsidRPr="00BB39F6">
              <w:t>ALĮ 10 straipsnio 2 dalies 15 punkto reikalavim</w:t>
            </w:r>
            <w:r>
              <w:t>ams.</w:t>
            </w:r>
          </w:p>
          <w:p w14:paraId="42F3DF52" w14:textId="77777777" w:rsidR="00AC5CB5" w:rsidRDefault="00AC5CB5" w:rsidP="00187C33">
            <w:pPr>
              <w:widowControl w:val="0"/>
              <w:rPr>
                <w:snapToGrid w:val="0"/>
              </w:rPr>
            </w:pPr>
          </w:p>
          <w:p w14:paraId="2ACF9498" w14:textId="77777777" w:rsidR="00AC5CB5" w:rsidRDefault="00AC5CB5" w:rsidP="00187C33">
            <w:pPr>
              <w:widowControl w:val="0"/>
              <w:rPr>
                <w:snapToGrid w:val="0"/>
              </w:rPr>
            </w:pPr>
          </w:p>
          <w:p w14:paraId="09EC44B6" w14:textId="77777777" w:rsidR="00AC5CB5" w:rsidRDefault="00AC5CB5" w:rsidP="00187C33">
            <w:pPr>
              <w:widowControl w:val="0"/>
              <w:rPr>
                <w:snapToGrid w:val="0"/>
              </w:rPr>
            </w:pPr>
          </w:p>
          <w:p w14:paraId="5D236894" w14:textId="77777777" w:rsidR="00AC5CB5" w:rsidRDefault="00AC5CB5" w:rsidP="00187C33">
            <w:pPr>
              <w:widowControl w:val="0"/>
              <w:rPr>
                <w:snapToGrid w:val="0"/>
              </w:rPr>
            </w:pPr>
          </w:p>
          <w:p w14:paraId="3CA2DA20" w14:textId="77777777" w:rsidR="00AC5CB5" w:rsidRDefault="00AC5CB5" w:rsidP="00187C33">
            <w:pPr>
              <w:widowControl w:val="0"/>
              <w:rPr>
                <w:snapToGrid w:val="0"/>
              </w:rPr>
            </w:pPr>
          </w:p>
          <w:p w14:paraId="671484B7" w14:textId="2E4B425F" w:rsidR="00C93F7D" w:rsidRDefault="009C213F" w:rsidP="00187C33">
            <w:pPr>
              <w:widowControl w:val="0"/>
              <w:rPr>
                <w:snapToGrid w:val="0"/>
              </w:rPr>
            </w:pPr>
            <w:r>
              <w:rPr>
                <w:snapToGrid w:val="0"/>
              </w:rPr>
              <w:t>Parengtu</w:t>
            </w:r>
            <w:r w:rsidR="00C032FD">
              <w:rPr>
                <w:snapToGrid w:val="0"/>
              </w:rPr>
              <w:t xml:space="preserve"> </w:t>
            </w:r>
            <w:r w:rsidR="00D71BE8">
              <w:rPr>
                <w:snapToGrid w:val="0"/>
              </w:rPr>
              <w:t>Įstatymo projektu siūloma apibrėžti sąvoką „</w:t>
            </w:r>
            <w:r w:rsidR="00D71BE8" w:rsidRPr="00D71BE8">
              <w:rPr>
                <w:i/>
                <w:iCs/>
                <w:snapToGrid w:val="0"/>
              </w:rPr>
              <w:t>prekybos centras</w:t>
            </w:r>
            <w:r w:rsidR="00D71BE8">
              <w:rPr>
                <w:snapToGrid w:val="0"/>
              </w:rPr>
              <w:t>“</w:t>
            </w:r>
            <w:r>
              <w:rPr>
                <w:snapToGrid w:val="0"/>
              </w:rPr>
              <w:t xml:space="preserve">. Nurodoma, kokių rūšių lošimų organizavimo vietos gali būti steigiamos prekybos centruose, </w:t>
            </w:r>
            <w:r w:rsidR="00D71BE8">
              <w:rPr>
                <w:snapToGrid w:val="0"/>
              </w:rPr>
              <w:t>detalizuo</w:t>
            </w:r>
            <w:r>
              <w:rPr>
                <w:snapToGrid w:val="0"/>
              </w:rPr>
              <w:t xml:space="preserve">jami patekimo (įėjimo) į lošimų organizavimo vietą reikalavimai. </w:t>
            </w:r>
          </w:p>
          <w:p w14:paraId="44F40FFC" w14:textId="5CA6748D" w:rsidR="00025DEF" w:rsidRDefault="00025DEF" w:rsidP="00187C33">
            <w:pPr>
              <w:widowControl w:val="0"/>
            </w:pPr>
            <w:r>
              <w:t xml:space="preserve">Įstatymo projektas </w:t>
            </w:r>
            <w:r w:rsidR="007A0E7C">
              <w:t xml:space="preserve">tikslinamas pagal </w:t>
            </w:r>
            <w:r>
              <w:t>Lietuvos Respublikos Vyriausyb</w:t>
            </w:r>
            <w:r w:rsidR="007A0E7C">
              <w:t>ės Teisės grupės pateiktas pastabas</w:t>
            </w:r>
            <w:r>
              <w:t>.</w:t>
            </w:r>
          </w:p>
          <w:p w14:paraId="6CA1A299" w14:textId="357CDEDC" w:rsidR="00AC5CB5" w:rsidRPr="00D71BE8" w:rsidRDefault="00AC5CB5" w:rsidP="00187C33">
            <w:pPr>
              <w:widowControl w:val="0"/>
              <w:rPr>
                <w:snapToGrid w:val="0"/>
              </w:rPr>
            </w:pPr>
            <w:r>
              <w:t>Planuojama Įstatymo projektą teikti svarstyti Lietuvos Respublikos Seimui 2026 m. pavasario sesijoje.</w:t>
            </w:r>
          </w:p>
        </w:tc>
        <w:tc>
          <w:tcPr>
            <w:tcW w:w="1929" w:type="dxa"/>
          </w:tcPr>
          <w:p w14:paraId="0FE7C517" w14:textId="77777777" w:rsidR="00C93F7D" w:rsidRPr="002B3452" w:rsidRDefault="00C93F7D" w:rsidP="00187C33">
            <w:pPr>
              <w:widowControl w:val="0"/>
              <w:rPr>
                <w:snapToGrid w:val="0"/>
              </w:rPr>
            </w:pPr>
          </w:p>
        </w:tc>
      </w:tr>
      <w:tr w:rsidR="00C93F7D" w:rsidRPr="002B3452" w14:paraId="40FAC9C8" w14:textId="77777777" w:rsidTr="00C93F7D">
        <w:tc>
          <w:tcPr>
            <w:tcW w:w="3184" w:type="dxa"/>
          </w:tcPr>
          <w:p w14:paraId="0655C90D" w14:textId="77777777" w:rsidR="0073509B" w:rsidRDefault="0073509B" w:rsidP="008115F0">
            <w:pPr>
              <w:tabs>
                <w:tab w:val="left" w:pos="1134"/>
              </w:tabs>
              <w:autoSpaceDE w:val="0"/>
              <w:autoSpaceDN w:val="0"/>
              <w:adjustRightInd w:val="0"/>
              <w:jc w:val="both"/>
            </w:pPr>
            <w:r w:rsidRPr="006D4A40">
              <w:t xml:space="preserve">5.1.7. </w:t>
            </w:r>
            <w:r>
              <w:t xml:space="preserve">Nustatytas kontrolinių veiksmų, nereglamentuotų nei ALĮ, nei kituose Priežiūros tarnybos veiklą reglamentuojančiuose teisės aktuose, taikymas vienos bendrovės atžvilgiu gali būti suvokiamas kaip </w:t>
            </w:r>
            <w:r w:rsidRPr="006D4A40">
              <w:rPr>
                <w:rStyle w:val="Grietas"/>
              </w:rPr>
              <w:t>šališkas, selektyvus</w:t>
            </w:r>
            <w:r>
              <w:t xml:space="preserve"> ar net turintis </w:t>
            </w:r>
            <w:r w:rsidRPr="00E169AD">
              <w:rPr>
                <w:rStyle w:val="Grietas"/>
              </w:rPr>
              <w:t>protekcionizmo</w:t>
            </w:r>
            <w:r>
              <w:t xml:space="preserve"> požymių (kai vieni rinkos dalyviai tikrinami, </w:t>
            </w:r>
            <w:r>
              <w:lastRenderedPageBreak/>
              <w:t xml:space="preserve">kiti – ne). Tai kelia </w:t>
            </w:r>
            <w:r w:rsidRPr="006D4A40">
              <w:rPr>
                <w:rStyle w:val="Grietas"/>
              </w:rPr>
              <w:t>nelygiavertės konkurencijos</w:t>
            </w:r>
            <w:r w:rsidRPr="006D4A40">
              <w:rPr>
                <w:b/>
              </w:rPr>
              <w:t xml:space="preserve"> </w:t>
            </w:r>
            <w:r w:rsidRPr="00832691">
              <w:rPr>
                <w:bCs/>
              </w:rPr>
              <w:t>ir</w:t>
            </w:r>
            <w:r w:rsidRPr="006D4A40">
              <w:rPr>
                <w:b/>
              </w:rPr>
              <w:t xml:space="preserve"> </w:t>
            </w:r>
            <w:r w:rsidRPr="006D4A40">
              <w:rPr>
                <w:rStyle w:val="Grietas"/>
              </w:rPr>
              <w:t>pasitikėjimo priežiūra praradimo</w:t>
            </w:r>
            <w:r>
              <w:t xml:space="preserve"> riziką. </w:t>
            </w:r>
            <w:r w:rsidRPr="009265C0">
              <w:t>Jeigu institucija veikia už įstatymo ribų, atlikdama veiksmus, kurių jai aiškiai nesuteikia teisės aktai, tai kelia galimo tarnybin</w:t>
            </w:r>
            <w:r>
              <w:t>ių</w:t>
            </w:r>
            <w:r w:rsidRPr="009265C0">
              <w:t xml:space="preserve"> padėties viršijimo riziką. Tai reiškia, kad institucija gali nepagrįstai pasirinkti, kada ir kam taikyti papildomas kontrolės formas</w:t>
            </w:r>
            <w:r>
              <w:t xml:space="preserve"> (</w:t>
            </w:r>
            <w:r w:rsidRPr="006D4A40">
              <w:rPr>
                <w:i/>
                <w:iCs/>
              </w:rPr>
              <w:t>argumentai pateikti 4.1 skirsnyje</w:t>
            </w:r>
            <w:r>
              <w:t>).</w:t>
            </w:r>
          </w:p>
          <w:p w14:paraId="6AF7821C" w14:textId="77777777" w:rsidR="00C93F7D" w:rsidRPr="002B3452" w:rsidRDefault="00C93F7D" w:rsidP="0073509B">
            <w:pPr>
              <w:widowControl w:val="0"/>
              <w:rPr>
                <w:snapToGrid w:val="0"/>
              </w:rPr>
            </w:pPr>
          </w:p>
        </w:tc>
        <w:tc>
          <w:tcPr>
            <w:tcW w:w="3222" w:type="dxa"/>
          </w:tcPr>
          <w:p w14:paraId="59ED0558" w14:textId="77777777" w:rsidR="0073509B" w:rsidRPr="00DC6D28" w:rsidRDefault="0073509B" w:rsidP="0073509B">
            <w:pPr>
              <w:tabs>
                <w:tab w:val="left" w:pos="1134"/>
                <w:tab w:val="left" w:pos="9356"/>
              </w:tabs>
              <w:autoSpaceDE w:val="0"/>
              <w:autoSpaceDN w:val="0"/>
              <w:adjustRightInd w:val="0"/>
              <w:ind w:firstLine="851"/>
              <w:jc w:val="both"/>
            </w:pPr>
            <w:r>
              <w:lastRenderedPageBreak/>
              <w:t xml:space="preserve">6.1.5. Siekdami užtikrinti teisėtą, skaidrią, veiksnią ir nuoseklią kontrolės praktiką, mažinančią galimus piktnaudžiavimus bei stiprinančią visuomenės ir rinkos dalyvių pasitikėjimą priežiūros veikla, siūlome įvertinti poreikį suteikti įgaliojimus lošimų priežiūros pareigūnams atlikti </w:t>
            </w:r>
            <w:r>
              <w:lastRenderedPageBreak/>
              <w:t>kontrolinius lošimus tokia apimtimi, kaip reglamentuota VAĮ 2 straipsnio 6 dalyje (</w:t>
            </w:r>
            <w:r w:rsidRPr="00E14DA3">
              <w:rPr>
                <w:i/>
                <w:iCs/>
              </w:rPr>
              <w:t>dėl</w:t>
            </w:r>
            <w:r>
              <w:t xml:space="preserve"> </w:t>
            </w:r>
            <w:r w:rsidRPr="009728A9">
              <w:rPr>
                <w:i/>
                <w:iCs/>
              </w:rPr>
              <w:t>kritinės antikorupcinės pastabos Nr.</w:t>
            </w:r>
            <w:r>
              <w:t xml:space="preserve"> </w:t>
            </w:r>
            <w:r w:rsidRPr="00E14DA3">
              <w:rPr>
                <w:i/>
                <w:iCs/>
              </w:rPr>
              <w:t>5.1.</w:t>
            </w:r>
            <w:r>
              <w:rPr>
                <w:i/>
                <w:iCs/>
              </w:rPr>
              <w:t>7</w:t>
            </w:r>
            <w:r>
              <w:t>).</w:t>
            </w:r>
          </w:p>
          <w:p w14:paraId="34475718" w14:textId="77777777" w:rsidR="00C93F7D" w:rsidRPr="004B4EFA" w:rsidRDefault="00C93F7D" w:rsidP="0073509B">
            <w:pPr>
              <w:tabs>
                <w:tab w:val="left" w:pos="1134"/>
                <w:tab w:val="left" w:pos="9356"/>
              </w:tabs>
              <w:autoSpaceDE w:val="0"/>
              <w:autoSpaceDN w:val="0"/>
              <w:adjustRightInd w:val="0"/>
              <w:ind w:firstLine="851"/>
              <w:jc w:val="both"/>
            </w:pPr>
          </w:p>
        </w:tc>
        <w:tc>
          <w:tcPr>
            <w:tcW w:w="5941" w:type="dxa"/>
          </w:tcPr>
          <w:p w14:paraId="1747E2B5" w14:textId="1513D60D" w:rsidR="00C93F7D" w:rsidRDefault="007A0E7C" w:rsidP="00187C33">
            <w:pPr>
              <w:widowControl w:val="0"/>
            </w:pPr>
            <w:r>
              <w:rPr>
                <w:snapToGrid w:val="0"/>
              </w:rPr>
              <w:lastRenderedPageBreak/>
              <w:t>Parengtu</w:t>
            </w:r>
            <w:r w:rsidR="00C032FD">
              <w:rPr>
                <w:snapToGrid w:val="0"/>
              </w:rPr>
              <w:t xml:space="preserve"> </w:t>
            </w:r>
            <w:r w:rsidR="00893FB9">
              <w:rPr>
                <w:snapToGrid w:val="0"/>
              </w:rPr>
              <w:t xml:space="preserve">Įstatymo projektu siūloma suteikti Priežiūros tarnybai įgaliojimus </w:t>
            </w:r>
            <w:r w:rsidR="00893FB9">
              <w:t>atlikti kontrolinius lošimus tokia apimtimi, kaip reglamentuota VAĮ 2 straipsnio 6 dalyje.</w:t>
            </w:r>
          </w:p>
          <w:p w14:paraId="78370336" w14:textId="51BBF39F" w:rsidR="007A0E7C" w:rsidRDefault="007A0E7C" w:rsidP="00187C33">
            <w:pPr>
              <w:widowControl w:val="0"/>
            </w:pPr>
            <w:r>
              <w:t>Įstatymo projektas tikslinamas pagal Lietuvos Respublikos Vyriausybės Teisės grupės pateiktas pastabas.</w:t>
            </w:r>
          </w:p>
          <w:p w14:paraId="2FE5155A" w14:textId="3BD0F7DF" w:rsidR="00893FB9" w:rsidRPr="002B3452" w:rsidRDefault="00893FB9" w:rsidP="00187C33">
            <w:pPr>
              <w:widowControl w:val="0"/>
              <w:rPr>
                <w:snapToGrid w:val="0"/>
              </w:rPr>
            </w:pPr>
            <w:r>
              <w:t>Planuojama Įstatymo projektą teikti svarstyti Lietuvos Respublikos Seimui 2026 m. pavasario sesijoje.</w:t>
            </w:r>
          </w:p>
        </w:tc>
        <w:tc>
          <w:tcPr>
            <w:tcW w:w="1929" w:type="dxa"/>
          </w:tcPr>
          <w:p w14:paraId="0270EB2D" w14:textId="77777777" w:rsidR="00C93F7D" w:rsidRPr="002B3452" w:rsidRDefault="00C93F7D" w:rsidP="00187C33">
            <w:pPr>
              <w:widowControl w:val="0"/>
              <w:rPr>
                <w:snapToGrid w:val="0"/>
              </w:rPr>
            </w:pPr>
          </w:p>
        </w:tc>
      </w:tr>
      <w:tr w:rsidR="00C93F7D" w:rsidRPr="002B3452" w14:paraId="6CD20B83" w14:textId="77777777" w:rsidTr="00C93F7D">
        <w:tc>
          <w:tcPr>
            <w:tcW w:w="3184" w:type="dxa"/>
          </w:tcPr>
          <w:p w14:paraId="5CC3C4AA" w14:textId="52354EE3" w:rsidR="0073509B" w:rsidRPr="00243FB6" w:rsidRDefault="008115F0" w:rsidP="008115F0">
            <w:pPr>
              <w:tabs>
                <w:tab w:val="left" w:pos="1134"/>
              </w:tabs>
              <w:autoSpaceDE w:val="0"/>
              <w:autoSpaceDN w:val="0"/>
              <w:adjustRightInd w:val="0"/>
              <w:jc w:val="both"/>
              <w:rPr>
                <w:iCs/>
              </w:rPr>
            </w:pPr>
            <w:r>
              <w:t xml:space="preserve">5.1.9. </w:t>
            </w:r>
            <w:r w:rsidR="0073509B" w:rsidRPr="00A62436">
              <w:t>Dėl neišsamių licencijos galiojimo panaikinimo pagrindų, ūkio subjektų, daugelį metų nevykdančių licencijoje nurodytos veiklos, turimos licencijos galiojimas nenaikinamas. Tai sudaro sąlygas ,,laikantiems“ licencijas, jas panaudoti kitiems tikslams, p</w:t>
            </w:r>
            <w:r w:rsidR="0073509B">
              <w:t>avyzdžiui</w:t>
            </w:r>
            <w:r w:rsidR="0073509B" w:rsidRPr="00A62436">
              <w:t>, manipuliuoti rinka ar perleisti licenciją komerciniais pagrindais, gauti reguliacinį pranašumą ar ateityje pasinaudoti švelnesniu licencijavimo režimu</w:t>
            </w:r>
            <w:r w:rsidR="0073509B">
              <w:t xml:space="preserve"> </w:t>
            </w:r>
            <w:r w:rsidR="0073509B" w:rsidRPr="00A570D3">
              <w:t>(</w:t>
            </w:r>
            <w:r w:rsidR="0073509B" w:rsidRPr="00A570D3">
              <w:rPr>
                <w:i/>
              </w:rPr>
              <w:t>argumentai pateikti 4.</w:t>
            </w:r>
            <w:r w:rsidR="0073509B">
              <w:rPr>
                <w:i/>
              </w:rPr>
              <w:t>4</w:t>
            </w:r>
            <w:r w:rsidR="0073509B" w:rsidRPr="00A570D3">
              <w:rPr>
                <w:i/>
              </w:rPr>
              <w:t xml:space="preserve"> skirsnyje</w:t>
            </w:r>
            <w:r w:rsidR="0073509B" w:rsidRPr="00A570D3">
              <w:rPr>
                <w:iCs/>
              </w:rPr>
              <w:t>)</w:t>
            </w:r>
            <w:r w:rsidR="0073509B" w:rsidRPr="00A62436">
              <w:t>.</w:t>
            </w:r>
          </w:p>
          <w:p w14:paraId="74DB8D0A" w14:textId="77777777" w:rsidR="00C93F7D" w:rsidRPr="002B3452" w:rsidRDefault="00C93F7D" w:rsidP="0073509B">
            <w:pPr>
              <w:widowControl w:val="0"/>
              <w:rPr>
                <w:snapToGrid w:val="0"/>
              </w:rPr>
            </w:pPr>
          </w:p>
        </w:tc>
        <w:tc>
          <w:tcPr>
            <w:tcW w:w="3222" w:type="dxa"/>
          </w:tcPr>
          <w:p w14:paraId="389A9675" w14:textId="77777777" w:rsidR="0073509B" w:rsidRPr="009728A9" w:rsidRDefault="0073509B" w:rsidP="0073509B">
            <w:pPr>
              <w:tabs>
                <w:tab w:val="left" w:pos="1134"/>
                <w:tab w:val="left" w:pos="9356"/>
              </w:tabs>
              <w:autoSpaceDE w:val="0"/>
              <w:autoSpaceDN w:val="0"/>
              <w:adjustRightInd w:val="0"/>
              <w:ind w:firstLine="851"/>
              <w:jc w:val="both"/>
            </w:pPr>
            <w:r w:rsidRPr="009728A9">
              <w:lastRenderedPageBreak/>
              <w:t xml:space="preserve">Siekdami užkirsti kelią fiktyviam licencijų </w:t>
            </w:r>
            <w:r>
              <w:t>,,</w:t>
            </w:r>
            <w:r w:rsidRPr="009728A9">
              <w:t>laikymui</w:t>
            </w:r>
            <w:r>
              <w:t>“</w:t>
            </w:r>
            <w:r w:rsidRPr="009728A9">
              <w:t>, taip mažinant rinkos manipuliavimo ir reguliavimo išnaudojimo galimybes, siūlome imtis teisėkūros iniciatyvos dėl ALĮ 7</w:t>
            </w:r>
            <w:r w:rsidRPr="009728A9">
              <w:rPr>
                <w:vertAlign w:val="superscript"/>
              </w:rPr>
              <w:t>2</w:t>
            </w:r>
            <w:r w:rsidRPr="009728A9">
              <w:t xml:space="preserve"> straipsnio 8 dalies papildymo, numatant pagrindą panaikinti licencijos galiojimą lošimo bendrovėms, jeigu jos ilgiau nei tam tikrą nustatytą laikotarpį nevykdo lošimų organizavimo veiklos (negauna iš jos pajamų) (</w:t>
            </w:r>
            <w:r w:rsidRPr="009728A9">
              <w:rPr>
                <w:i/>
                <w:iCs/>
              </w:rPr>
              <w:t>dėl kritinės antikorupcinės pastabos Nr. 5.1.</w:t>
            </w:r>
            <w:r>
              <w:rPr>
                <w:i/>
                <w:iCs/>
              </w:rPr>
              <w:t>9</w:t>
            </w:r>
            <w:r w:rsidRPr="009728A9">
              <w:rPr>
                <w:iCs/>
              </w:rPr>
              <w:t>)</w:t>
            </w:r>
            <w:r w:rsidRPr="009728A9">
              <w:t>.</w:t>
            </w:r>
          </w:p>
          <w:p w14:paraId="25BE9EE9" w14:textId="77777777" w:rsidR="00C93F7D" w:rsidRPr="004B4EFA" w:rsidRDefault="00C93F7D" w:rsidP="0073509B">
            <w:pPr>
              <w:ind w:firstLine="851"/>
              <w:jc w:val="both"/>
            </w:pPr>
          </w:p>
        </w:tc>
        <w:tc>
          <w:tcPr>
            <w:tcW w:w="5941" w:type="dxa"/>
          </w:tcPr>
          <w:p w14:paraId="7DE4FA4A" w14:textId="69179B89" w:rsidR="00C93F7D" w:rsidRDefault="00DC43A3" w:rsidP="00187C33">
            <w:pPr>
              <w:widowControl w:val="0"/>
              <w:rPr>
                <w:snapToGrid w:val="0"/>
              </w:rPr>
            </w:pPr>
            <w:r>
              <w:rPr>
                <w:snapToGrid w:val="0"/>
              </w:rPr>
              <w:t>Parengtu</w:t>
            </w:r>
            <w:r w:rsidR="00C032FD">
              <w:rPr>
                <w:snapToGrid w:val="0"/>
              </w:rPr>
              <w:t xml:space="preserve"> </w:t>
            </w:r>
            <w:r w:rsidR="00861F4C">
              <w:rPr>
                <w:snapToGrid w:val="0"/>
              </w:rPr>
              <w:t xml:space="preserve">Įstatymo projektu siūloma išplėsti licencijos panaikinimo pagrindus ir nustatyti, kad licencijos galiojimas bendrovei panaikinamas, jeigu </w:t>
            </w:r>
            <w:r w:rsidR="00216B21">
              <w:rPr>
                <w:snapToGrid w:val="0"/>
              </w:rPr>
              <w:t>bendrovė</w:t>
            </w:r>
            <w:r w:rsidR="00861F4C">
              <w:rPr>
                <w:snapToGrid w:val="0"/>
              </w:rPr>
              <w:t xml:space="preserve"> </w:t>
            </w:r>
            <w:r w:rsidR="00216B21">
              <w:rPr>
                <w:snapToGrid w:val="0"/>
              </w:rPr>
              <w:t xml:space="preserve">ilgiau nei </w:t>
            </w:r>
            <w:r w:rsidR="00861F4C">
              <w:rPr>
                <w:snapToGrid w:val="0"/>
              </w:rPr>
              <w:t xml:space="preserve">vienerius metus </w:t>
            </w:r>
            <w:r w:rsidR="00216B21">
              <w:rPr>
                <w:snapToGrid w:val="0"/>
              </w:rPr>
              <w:t>ne</w:t>
            </w:r>
            <w:r w:rsidR="00861F4C">
              <w:rPr>
                <w:snapToGrid w:val="0"/>
              </w:rPr>
              <w:t>vykd</w:t>
            </w:r>
            <w:r w:rsidR="00216B21">
              <w:rPr>
                <w:snapToGrid w:val="0"/>
              </w:rPr>
              <w:t>o</w:t>
            </w:r>
            <w:r w:rsidR="00861F4C">
              <w:rPr>
                <w:snapToGrid w:val="0"/>
              </w:rPr>
              <w:t xml:space="preserve"> lošimų organizavimo veiklos, t. y. negauna iš vykdomos veiklos pajamų.</w:t>
            </w:r>
          </w:p>
          <w:p w14:paraId="04BB5325" w14:textId="151AE8A9" w:rsidR="00DC43A3" w:rsidRPr="00DC43A3" w:rsidRDefault="00DC43A3" w:rsidP="00187C33">
            <w:pPr>
              <w:widowControl w:val="0"/>
            </w:pPr>
            <w:r>
              <w:t>Įstatymo projektas tikslinamas pagal Lietuvos Respublikos Vyriausybės Teisės grupės pateiktas pastabas.</w:t>
            </w:r>
          </w:p>
          <w:p w14:paraId="1CE3283D" w14:textId="69C8FF24" w:rsidR="00861F4C" w:rsidRPr="002B3452" w:rsidRDefault="00861F4C" w:rsidP="00187C33">
            <w:pPr>
              <w:widowControl w:val="0"/>
              <w:rPr>
                <w:snapToGrid w:val="0"/>
              </w:rPr>
            </w:pPr>
            <w:r>
              <w:t>Planuojama Įstatymo projektą teikti svarstyti Lietuvos Respublikos Seimui 2026 m. pavasario sesijoje.</w:t>
            </w:r>
          </w:p>
        </w:tc>
        <w:tc>
          <w:tcPr>
            <w:tcW w:w="1929" w:type="dxa"/>
          </w:tcPr>
          <w:p w14:paraId="518B6C99" w14:textId="77777777" w:rsidR="00C93F7D" w:rsidRPr="002B3452" w:rsidRDefault="00C93F7D" w:rsidP="00187C33">
            <w:pPr>
              <w:widowControl w:val="0"/>
              <w:rPr>
                <w:snapToGrid w:val="0"/>
              </w:rPr>
            </w:pPr>
          </w:p>
        </w:tc>
      </w:tr>
      <w:tr w:rsidR="00C93F7D" w:rsidRPr="002B3452" w14:paraId="6F1203E1" w14:textId="77777777" w:rsidTr="00C93F7D">
        <w:tc>
          <w:tcPr>
            <w:tcW w:w="3184" w:type="dxa"/>
          </w:tcPr>
          <w:p w14:paraId="6CFCEECB" w14:textId="4D132C52" w:rsidR="0073509B" w:rsidRPr="006448A8" w:rsidRDefault="008115F0" w:rsidP="008115F0">
            <w:pPr>
              <w:tabs>
                <w:tab w:val="left" w:pos="1134"/>
              </w:tabs>
              <w:autoSpaceDE w:val="0"/>
              <w:autoSpaceDN w:val="0"/>
              <w:adjustRightInd w:val="0"/>
              <w:jc w:val="both"/>
            </w:pPr>
            <w:r>
              <w:t xml:space="preserve">5.1.10. </w:t>
            </w:r>
            <w:r w:rsidR="0073509B" w:rsidRPr="006448A8">
              <w:t>Ūkio subjektų, kurių dalyviai yra lošimų ar loterijų organizatorių dalyviai, teikiama parama Priežiūros tarnybai kelia tiesioginio ar netiesioginio interesų konflikto bei neobjektyvių sprendimų riziką (</w:t>
            </w:r>
            <w:r w:rsidR="0073509B" w:rsidRPr="006448A8">
              <w:rPr>
                <w:i/>
              </w:rPr>
              <w:t>argumentai pateikti 4.6 skirsnyje</w:t>
            </w:r>
            <w:r w:rsidR="0073509B" w:rsidRPr="006448A8">
              <w:rPr>
                <w:iCs/>
              </w:rPr>
              <w:t>)</w:t>
            </w:r>
            <w:r w:rsidR="0073509B" w:rsidRPr="006448A8">
              <w:t xml:space="preserve">. </w:t>
            </w:r>
          </w:p>
          <w:p w14:paraId="2771614C" w14:textId="77777777" w:rsidR="00C93F7D" w:rsidRPr="002B3452" w:rsidRDefault="00C93F7D" w:rsidP="00187C33">
            <w:pPr>
              <w:widowControl w:val="0"/>
              <w:rPr>
                <w:snapToGrid w:val="0"/>
              </w:rPr>
            </w:pPr>
          </w:p>
        </w:tc>
        <w:tc>
          <w:tcPr>
            <w:tcW w:w="3222" w:type="dxa"/>
          </w:tcPr>
          <w:p w14:paraId="431C11DA" w14:textId="77777777" w:rsidR="0073509B" w:rsidRPr="00712210" w:rsidRDefault="0073509B" w:rsidP="0073509B">
            <w:pPr>
              <w:ind w:firstLine="851"/>
              <w:jc w:val="both"/>
            </w:pPr>
            <w:r w:rsidRPr="00712210">
              <w:t>6.1.</w:t>
            </w:r>
            <w:r>
              <w:t>7</w:t>
            </w:r>
            <w:r w:rsidRPr="00712210">
              <w:t>. Siekdami užtikrinti skaidrų, nešališką ir nepriklausomą priežiūros institucijų sprendimų priėmimą, siūlome keisti esamą teisinį reguliavimą, aiškiai uždraudžiant priežiūros institucijoms priimti bet kokią finansinę ar materialinę paramą iš ūkio subjektų, kuriuos jos prižiūri – kad būtų eliminuota bet kokia galimybė reguliuojamiems verslo subjektams daryti įtaką reguliavimo procesams bei subjektų, glaudžiai susijusių su prižiūrimais subjektais (asociacijų, atstovaujančių lošimų organizatorių interesams, ar kitų susijusių juridinių asmenų) – kad nebūtų sudarytos prielaidos netiesioginei įtakai per tarpininkus (</w:t>
            </w:r>
            <w:r w:rsidRPr="00712210">
              <w:rPr>
                <w:i/>
                <w:iCs/>
              </w:rPr>
              <w:t>dėl kritinės antikorupcinės pastabos Nr. 5.1.</w:t>
            </w:r>
            <w:r>
              <w:rPr>
                <w:i/>
                <w:iCs/>
              </w:rPr>
              <w:t>10</w:t>
            </w:r>
            <w:r w:rsidRPr="00712210">
              <w:rPr>
                <w:iCs/>
              </w:rPr>
              <w:t>)</w:t>
            </w:r>
            <w:r w:rsidRPr="00712210">
              <w:t>.</w:t>
            </w:r>
          </w:p>
          <w:p w14:paraId="43AE5582" w14:textId="77777777" w:rsidR="00C93F7D" w:rsidRPr="004B4EFA" w:rsidRDefault="00C93F7D" w:rsidP="00187C33">
            <w:pPr>
              <w:widowControl w:val="0"/>
            </w:pPr>
          </w:p>
        </w:tc>
        <w:tc>
          <w:tcPr>
            <w:tcW w:w="5941" w:type="dxa"/>
          </w:tcPr>
          <w:p w14:paraId="47B73AFE" w14:textId="5BC6CD8D" w:rsidR="00C93F7D" w:rsidRDefault="008B6BAD" w:rsidP="00187C33">
            <w:pPr>
              <w:widowControl w:val="0"/>
              <w:rPr>
                <w:snapToGrid w:val="0"/>
              </w:rPr>
            </w:pPr>
            <w:r>
              <w:rPr>
                <w:snapToGrid w:val="0"/>
              </w:rPr>
              <w:t>Parengtu</w:t>
            </w:r>
            <w:r w:rsidR="00C032FD">
              <w:rPr>
                <w:snapToGrid w:val="0"/>
              </w:rPr>
              <w:t xml:space="preserve"> </w:t>
            </w:r>
            <w:r w:rsidR="008614B2">
              <w:rPr>
                <w:snapToGrid w:val="0"/>
              </w:rPr>
              <w:t>Įstatymo projektu siūloma nustatyti draudimą Priežiūros tarnybai priimti bet kokią finansinę ar materialinę paramą iš ūkio subjektų, kuriuos ji prižiūri.</w:t>
            </w:r>
          </w:p>
          <w:p w14:paraId="4980D6D4" w14:textId="18B506F5" w:rsidR="008B6BAD" w:rsidRPr="008B6BAD" w:rsidRDefault="008B6BAD" w:rsidP="00187C33">
            <w:pPr>
              <w:widowControl w:val="0"/>
            </w:pPr>
            <w:r>
              <w:t>Įstatymo projektas tikslinamas pagal Lietuvos Respublikos Vyriausybės Teisės grupės pateiktas pastabas.</w:t>
            </w:r>
          </w:p>
          <w:p w14:paraId="12133F36" w14:textId="5B5EFCDC" w:rsidR="008614B2" w:rsidRPr="002B3452" w:rsidRDefault="008614B2" w:rsidP="00187C33">
            <w:pPr>
              <w:widowControl w:val="0"/>
              <w:rPr>
                <w:snapToGrid w:val="0"/>
              </w:rPr>
            </w:pPr>
            <w:r>
              <w:t>Planuojama Įstatymo projektą teikti svarstyti Lietuvos Respublikos Seimui 2026 m. pavasario sesijoje.</w:t>
            </w:r>
          </w:p>
        </w:tc>
        <w:tc>
          <w:tcPr>
            <w:tcW w:w="1929" w:type="dxa"/>
          </w:tcPr>
          <w:p w14:paraId="076CAC13" w14:textId="77777777" w:rsidR="00C93F7D" w:rsidRPr="002B3452" w:rsidRDefault="00C93F7D" w:rsidP="00187C33">
            <w:pPr>
              <w:widowControl w:val="0"/>
              <w:rPr>
                <w:snapToGrid w:val="0"/>
              </w:rPr>
            </w:pPr>
          </w:p>
        </w:tc>
      </w:tr>
    </w:tbl>
    <w:p w14:paraId="4B5C8188" w14:textId="77777777" w:rsidR="0034418E" w:rsidRDefault="0034418E" w:rsidP="0034418E">
      <w:pPr>
        <w:spacing w:line="360" w:lineRule="auto"/>
        <w:ind w:firstLine="851"/>
        <w:jc w:val="center"/>
        <w:rPr>
          <w:lang w:eastAsia="en-US"/>
        </w:rPr>
      </w:pPr>
    </w:p>
    <w:p w14:paraId="711CD6BD" w14:textId="1AA67C1D" w:rsidR="000C5806" w:rsidRDefault="0034418E" w:rsidP="0034418E">
      <w:pPr>
        <w:jc w:val="center"/>
      </w:pPr>
      <w:r>
        <w:t>____________</w:t>
      </w:r>
    </w:p>
    <w:sectPr w:rsidR="000C5806" w:rsidSect="0037500E">
      <w:footnotePr>
        <w:numFmt w:val="chicago"/>
      </w:footnotePr>
      <w:pgSz w:w="16838" w:h="11906" w:orient="landscape"/>
      <w:pgMar w:top="1701"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F8E35" w14:textId="77777777" w:rsidR="00A10155" w:rsidRDefault="00A10155" w:rsidP="00694944">
      <w:r>
        <w:separator/>
      </w:r>
    </w:p>
  </w:endnote>
  <w:endnote w:type="continuationSeparator" w:id="0">
    <w:p w14:paraId="750B3240" w14:textId="77777777" w:rsidR="00A10155" w:rsidRDefault="00A10155" w:rsidP="0069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DBFF0" w14:textId="77777777" w:rsidR="00A10155" w:rsidRDefault="00A10155" w:rsidP="00694944">
      <w:r>
        <w:separator/>
      </w:r>
    </w:p>
  </w:footnote>
  <w:footnote w:type="continuationSeparator" w:id="0">
    <w:p w14:paraId="418C38F8" w14:textId="77777777" w:rsidR="00A10155" w:rsidRDefault="00A10155" w:rsidP="00694944">
      <w:r>
        <w:continuationSeparator/>
      </w:r>
    </w:p>
  </w:footnote>
  <w:footnote w:id="1">
    <w:p w14:paraId="711CD6C2" w14:textId="77777777" w:rsidR="00694944" w:rsidRPr="0013385B" w:rsidRDefault="00694944" w:rsidP="00694944">
      <w:pPr>
        <w:pStyle w:val="Puslapioinaostekstas"/>
        <w:jc w:val="both"/>
        <w:rPr>
          <w:rFonts w:ascii="Times New Roman" w:hAnsi="Times New Roman"/>
        </w:rPr>
      </w:pPr>
      <w:r w:rsidRPr="00770A2D">
        <w:rPr>
          <w:rStyle w:val="Puslapioinaosnuoroda"/>
          <w:rFonts w:ascii="Times New Roman" w:hAnsi="Times New Roman"/>
        </w:rPr>
        <w:footnoteRef/>
      </w:r>
      <w:r w:rsidRPr="00770A2D">
        <w:rPr>
          <w:rFonts w:ascii="Times New Roman" w:hAnsi="Times New Roman"/>
          <w:bCs/>
        </w:rPr>
        <w:t xml:space="preserve"> Informaciją apie išvadoje dėl korupcijos rizikos analizės nurodytų pasiūly</w:t>
      </w:r>
      <w:r w:rsidRPr="000D690B">
        <w:rPr>
          <w:rFonts w:ascii="Times New Roman" w:hAnsi="Times New Roman"/>
          <w:bCs/>
        </w:rPr>
        <w:t>mų vykdymą ar numatomą įgyvendinimą prašome pateikti STT ne vėliau kaip per 3 mėnesius nuo išvados dėl korupcijos rizikos analizės gavimo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F15AC1"/>
    <w:multiLevelType w:val="hybridMultilevel"/>
    <w:tmpl w:val="2280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14333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944"/>
    <w:rsid w:val="00014C02"/>
    <w:rsid w:val="000219F8"/>
    <w:rsid w:val="00025DEF"/>
    <w:rsid w:val="00040139"/>
    <w:rsid w:val="000473E4"/>
    <w:rsid w:val="000C5806"/>
    <w:rsid w:val="000D63E8"/>
    <w:rsid w:val="001820B6"/>
    <w:rsid w:val="00205E41"/>
    <w:rsid w:val="00216B21"/>
    <w:rsid w:val="00226298"/>
    <w:rsid w:val="002446AF"/>
    <w:rsid w:val="00270C62"/>
    <w:rsid w:val="002A1711"/>
    <w:rsid w:val="002E6C6C"/>
    <w:rsid w:val="00317969"/>
    <w:rsid w:val="0034418E"/>
    <w:rsid w:val="0037500E"/>
    <w:rsid w:val="00380FAC"/>
    <w:rsid w:val="003826DC"/>
    <w:rsid w:val="00383F51"/>
    <w:rsid w:val="003E50E6"/>
    <w:rsid w:val="003E7DC1"/>
    <w:rsid w:val="00442AB7"/>
    <w:rsid w:val="004818D2"/>
    <w:rsid w:val="005548F1"/>
    <w:rsid w:val="00574EC8"/>
    <w:rsid w:val="005B4FFE"/>
    <w:rsid w:val="005D4659"/>
    <w:rsid w:val="005E1894"/>
    <w:rsid w:val="00625300"/>
    <w:rsid w:val="006700B4"/>
    <w:rsid w:val="00694944"/>
    <w:rsid w:val="00710319"/>
    <w:rsid w:val="00717F64"/>
    <w:rsid w:val="0073509B"/>
    <w:rsid w:val="007A0E7C"/>
    <w:rsid w:val="007A6FFC"/>
    <w:rsid w:val="007F67D6"/>
    <w:rsid w:val="008115F0"/>
    <w:rsid w:val="008614B2"/>
    <w:rsid w:val="00861F4C"/>
    <w:rsid w:val="00893FB9"/>
    <w:rsid w:val="008B6BAD"/>
    <w:rsid w:val="008F6DF3"/>
    <w:rsid w:val="00911303"/>
    <w:rsid w:val="009374B9"/>
    <w:rsid w:val="009C213F"/>
    <w:rsid w:val="00A10155"/>
    <w:rsid w:val="00A72329"/>
    <w:rsid w:val="00AC5CB5"/>
    <w:rsid w:val="00AF0532"/>
    <w:rsid w:val="00B2318E"/>
    <w:rsid w:val="00B85DA1"/>
    <w:rsid w:val="00B92200"/>
    <w:rsid w:val="00BB32CD"/>
    <w:rsid w:val="00C032FD"/>
    <w:rsid w:val="00C53629"/>
    <w:rsid w:val="00C7233F"/>
    <w:rsid w:val="00C93F7D"/>
    <w:rsid w:val="00CE01F8"/>
    <w:rsid w:val="00D07F3C"/>
    <w:rsid w:val="00D14D23"/>
    <w:rsid w:val="00D71BE8"/>
    <w:rsid w:val="00D76FD0"/>
    <w:rsid w:val="00DC43A3"/>
    <w:rsid w:val="00DE29E2"/>
    <w:rsid w:val="00E20495"/>
    <w:rsid w:val="00E2395B"/>
    <w:rsid w:val="00EF068B"/>
    <w:rsid w:val="00EF7971"/>
    <w:rsid w:val="00F35E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D6A9"/>
  <w15:chartTrackingRefBased/>
  <w15:docId w15:val="{BBB106CC-3A3C-4D34-8538-5371883D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4944"/>
    <w:pPr>
      <w:spacing w:line="240" w:lineRule="auto"/>
      <w:ind w:firstLine="0"/>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694944"/>
    <w:rPr>
      <w:rFonts w:ascii="Arial" w:eastAsia="Calibri" w:hAnsi="Arial"/>
      <w:sz w:val="20"/>
      <w:szCs w:val="20"/>
    </w:rPr>
  </w:style>
  <w:style w:type="character" w:customStyle="1" w:styleId="PuslapioinaostekstasDiagrama">
    <w:name w:val="Puslapio išnašos tekstas Diagrama"/>
    <w:basedOn w:val="Numatytasispastraiposriftas"/>
    <w:link w:val="Puslapioinaostekstas"/>
    <w:uiPriority w:val="99"/>
    <w:rsid w:val="00694944"/>
    <w:rPr>
      <w:rFonts w:ascii="Arial" w:eastAsia="Calibri" w:hAnsi="Arial" w:cs="Times New Roman"/>
      <w:sz w:val="20"/>
      <w:szCs w:val="20"/>
      <w:lang w:eastAsia="lt-LT"/>
    </w:rPr>
  </w:style>
  <w:style w:type="character" w:styleId="Puslapioinaosnuoroda">
    <w:name w:val="footnote reference"/>
    <w:uiPriority w:val="99"/>
    <w:rsid w:val="00694944"/>
    <w:rPr>
      <w:rFonts w:cs="Times New Roman"/>
      <w:vertAlign w:val="superscript"/>
    </w:rPr>
  </w:style>
  <w:style w:type="table" w:styleId="Lentelstinklelis">
    <w:name w:val="Table Grid"/>
    <w:basedOn w:val="prastojilentel"/>
    <w:rsid w:val="0037500E"/>
    <w:pPr>
      <w:spacing w:line="240" w:lineRule="auto"/>
      <w:ind w:firstLine="0"/>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37500E"/>
    <w:pPr>
      <w:ind w:left="720"/>
      <w:contextualSpacing/>
    </w:pPr>
    <w:rPr>
      <w:szCs w:val="20"/>
      <w:lang w:eastAsia="en-US"/>
    </w:rPr>
  </w:style>
  <w:style w:type="character" w:styleId="Grietas">
    <w:name w:val="Strong"/>
    <w:basedOn w:val="Numatytasispastraiposriftas"/>
    <w:uiPriority w:val="22"/>
    <w:qFormat/>
    <w:rsid w:val="00C93F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74803">
      <w:bodyDiv w:val="1"/>
      <w:marLeft w:val="0"/>
      <w:marRight w:val="0"/>
      <w:marTop w:val="0"/>
      <w:marBottom w:val="0"/>
      <w:divBdr>
        <w:top w:val="none" w:sz="0" w:space="0" w:color="auto"/>
        <w:left w:val="none" w:sz="0" w:space="0" w:color="auto"/>
        <w:bottom w:val="none" w:sz="0" w:space="0" w:color="auto"/>
        <w:right w:val="none" w:sz="0" w:space="0" w:color="auto"/>
      </w:divBdr>
    </w:div>
    <w:div w:id="1276017654">
      <w:bodyDiv w:val="1"/>
      <w:marLeft w:val="0"/>
      <w:marRight w:val="0"/>
      <w:marTop w:val="0"/>
      <w:marBottom w:val="0"/>
      <w:divBdr>
        <w:top w:val="none" w:sz="0" w:space="0" w:color="auto"/>
        <w:left w:val="none" w:sz="0" w:space="0" w:color="auto"/>
        <w:bottom w:val="none" w:sz="0" w:space="0" w:color="auto"/>
        <w:right w:val="none" w:sz="0" w:space="0" w:color="auto"/>
      </w:divBdr>
    </w:div>
    <w:div w:id="165074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7414</Words>
  <Characters>4226</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Poškuvienė</dc:creator>
  <cp:keywords/>
  <dc:description/>
  <cp:lastModifiedBy>Lina Kliukienė</cp:lastModifiedBy>
  <cp:revision>2</cp:revision>
  <dcterms:created xsi:type="dcterms:W3CDTF">2026-05-19T08:39:00Z</dcterms:created>
  <dcterms:modified xsi:type="dcterms:W3CDTF">2026-05-19T08:39:00Z</dcterms:modified>
</cp:coreProperties>
</file>